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4"/>
      </w:tblGrid>
      <w:tr w:rsidR="00284B87" w:rsidRPr="008F2783" w:rsidTr="00B81958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84B87" w:rsidRPr="00E36402" w:rsidRDefault="00284B87" w:rsidP="00B81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F6D" w:rsidRDefault="00F24F6D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>
                  <wp:extent cx="4000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krk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Pr="008F2783">
              <w:rPr>
                <w:b w:val="0"/>
                <w:bCs w:val="0"/>
                <w:sz w:val="20"/>
                <w:szCs w:val="20"/>
              </w:rPr>
              <w:t>@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284B87" w:rsidRPr="008F2783" w:rsidRDefault="00284B87" w:rsidP="00B81958">
            <w:pPr>
              <w:jc w:val="center"/>
              <w:rPr>
                <w:sz w:val="20"/>
                <w:szCs w:val="20"/>
              </w:rPr>
            </w:pPr>
          </w:p>
          <w:p w:rsidR="00284B87" w:rsidRPr="008F2783" w:rsidRDefault="00284B87" w:rsidP="00B81958">
            <w:pPr>
              <w:jc w:val="both"/>
            </w:pPr>
          </w:p>
        </w:tc>
      </w:tr>
    </w:tbl>
    <w:p w:rsidR="00284B87" w:rsidRPr="008F2783" w:rsidRDefault="00F87388" w:rsidP="00284B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  <w:t>Заключение № 99</w:t>
      </w:r>
    </w:p>
    <w:p w:rsidR="00284B87" w:rsidRPr="00284B87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B87">
        <w:rPr>
          <w:rFonts w:ascii="Times New Roman" w:hAnsi="Times New Roman" w:cs="Times New Roman"/>
          <w:sz w:val="28"/>
          <w:szCs w:val="28"/>
        </w:rPr>
        <w:t xml:space="preserve">Контрольно-счетной  комиссии городского округа город Кулебаки </w:t>
      </w:r>
      <w:r w:rsidR="003D03C3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284B87">
        <w:rPr>
          <w:rFonts w:ascii="Times New Roman" w:hAnsi="Times New Roman" w:cs="Times New Roman"/>
          <w:sz w:val="28"/>
          <w:szCs w:val="28"/>
        </w:rPr>
        <w:t>п</w:t>
      </w:r>
      <w:r w:rsidR="00F87388">
        <w:rPr>
          <w:rFonts w:ascii="Times New Roman" w:hAnsi="Times New Roman" w:cs="Times New Roman"/>
          <w:sz w:val="28"/>
          <w:szCs w:val="28"/>
        </w:rPr>
        <w:t>о результатам экспертизы</w:t>
      </w:r>
      <w:r w:rsidRPr="00284B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город Кулебаки</w:t>
      </w:r>
      <w:r w:rsidR="00BC5A4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F87388">
        <w:rPr>
          <w:rFonts w:ascii="Times New Roman" w:hAnsi="Times New Roman" w:cs="Times New Roman"/>
          <w:sz w:val="28"/>
          <w:szCs w:val="28"/>
        </w:rPr>
        <w:t>от 11.12.2018 №3022</w:t>
      </w:r>
      <w:r w:rsidRPr="00284B8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F873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BC5A48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87388">
        <w:rPr>
          <w:rFonts w:ascii="Times New Roman" w:hAnsi="Times New Roman" w:cs="Times New Roman"/>
          <w:sz w:val="28"/>
          <w:szCs w:val="28"/>
        </w:rPr>
        <w:t>»</w:t>
      </w:r>
    </w:p>
    <w:p w:rsidR="00284B87" w:rsidRPr="008F2783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F87388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декабря</w:t>
      </w:r>
      <w:r w:rsidR="001F2E80">
        <w:rPr>
          <w:rFonts w:ascii="Times New Roman" w:hAnsi="Times New Roman" w:cs="Times New Roman"/>
          <w:sz w:val="28"/>
          <w:szCs w:val="28"/>
        </w:rPr>
        <w:t xml:space="preserve"> 2018</w:t>
      </w:r>
      <w:r w:rsidR="00284B87" w:rsidRPr="008F2783">
        <w:rPr>
          <w:rFonts w:ascii="Times New Roman" w:hAnsi="Times New Roman" w:cs="Times New Roman"/>
          <w:sz w:val="28"/>
          <w:szCs w:val="28"/>
        </w:rPr>
        <w:t>г.</w:t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  <w:t>г. Кулебаки</w:t>
      </w: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Настоящее заключение п</w:t>
      </w:r>
      <w:r w:rsidR="00F87388">
        <w:rPr>
          <w:rFonts w:ascii="Times New Roman" w:hAnsi="Times New Roman" w:cs="Times New Roman"/>
          <w:sz w:val="28"/>
          <w:szCs w:val="28"/>
        </w:rPr>
        <w:t>о результатам экспертизы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F87388" w:rsidRPr="00284B87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город Кулебаки</w:t>
      </w:r>
      <w:r w:rsidR="00F8738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F87388">
        <w:rPr>
          <w:rFonts w:ascii="Times New Roman" w:hAnsi="Times New Roman" w:cs="Times New Roman"/>
          <w:sz w:val="28"/>
          <w:szCs w:val="28"/>
        </w:rPr>
        <w:t>от 11.12.2018 №3022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F873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F87388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87388">
        <w:rPr>
          <w:rFonts w:ascii="Times New Roman" w:hAnsi="Times New Roman" w:cs="Times New Roman"/>
          <w:sz w:val="28"/>
          <w:szCs w:val="28"/>
        </w:rPr>
        <w:t>» (далее – постановление</w:t>
      </w:r>
      <w:r w:rsidRPr="008F2783">
        <w:rPr>
          <w:rFonts w:ascii="Times New Roman" w:hAnsi="Times New Roman" w:cs="Times New Roman"/>
          <w:sz w:val="28"/>
          <w:szCs w:val="28"/>
        </w:rPr>
        <w:t>, программа) подготовлено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области», постановлением администрации 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Кулебаки»</w:t>
      </w:r>
      <w:r w:rsidR="00BC316B">
        <w:rPr>
          <w:rFonts w:ascii="Times New Roman" w:hAnsi="Times New Roman" w:cs="Times New Roman"/>
          <w:sz w:val="28"/>
          <w:szCs w:val="28"/>
        </w:rPr>
        <w:t xml:space="preserve"> (далее – порядок №395)</w:t>
      </w:r>
      <w:r w:rsidRPr="008F2783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бюджетные отношения.</w:t>
      </w: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0B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7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Общие положения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Рассматриваемый проект постановления поступил в Контрольно-счетную комиссию город</w:t>
      </w:r>
      <w:r w:rsidR="00F87388">
        <w:rPr>
          <w:rFonts w:ascii="Times New Roman" w:hAnsi="Times New Roman" w:cs="Times New Roman"/>
          <w:sz w:val="28"/>
          <w:szCs w:val="28"/>
        </w:rPr>
        <w:t>ского округа город Кулебаки – 10.12</w:t>
      </w:r>
      <w:r w:rsidR="000B014D">
        <w:rPr>
          <w:rFonts w:ascii="Times New Roman" w:hAnsi="Times New Roman" w:cs="Times New Roman"/>
          <w:sz w:val="28"/>
          <w:szCs w:val="28"/>
        </w:rPr>
        <w:t>.2018</w:t>
      </w:r>
      <w:r w:rsidRPr="008F2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4B87" w:rsidRPr="008F2783" w:rsidRDefault="00284B87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1) письмо администрации городского округа город Кулебаки Нижегородской области в </w:t>
      </w:r>
      <w:r w:rsidRPr="008F2783">
        <w:rPr>
          <w:rFonts w:ascii="Times New Roman" w:hAnsi="Times New Roman" w:cs="Times New Roman"/>
          <w:sz w:val="28"/>
          <w:szCs w:val="28"/>
        </w:rPr>
        <w:t>Контрольно-счетную комиссию городского округа г</w:t>
      </w:r>
      <w:r w:rsidR="002B066A">
        <w:rPr>
          <w:rFonts w:ascii="Times New Roman" w:hAnsi="Times New Roman" w:cs="Times New Roman"/>
          <w:sz w:val="28"/>
          <w:szCs w:val="28"/>
        </w:rPr>
        <w:t>о</w:t>
      </w:r>
      <w:r w:rsidR="00F87388">
        <w:rPr>
          <w:rFonts w:ascii="Times New Roman" w:hAnsi="Times New Roman" w:cs="Times New Roman"/>
          <w:sz w:val="28"/>
          <w:szCs w:val="28"/>
        </w:rPr>
        <w:t>род Кулебаки (далее - КСК) от 10.12</w:t>
      </w:r>
      <w:r w:rsidR="00D25FC9">
        <w:rPr>
          <w:rFonts w:ascii="Times New Roman" w:hAnsi="Times New Roman" w:cs="Times New Roman"/>
          <w:sz w:val="28"/>
          <w:szCs w:val="28"/>
        </w:rPr>
        <w:t>.2018</w:t>
      </w:r>
      <w:r w:rsidR="00F87388">
        <w:rPr>
          <w:rFonts w:ascii="Times New Roman" w:hAnsi="Times New Roman" w:cs="Times New Roman"/>
          <w:sz w:val="28"/>
          <w:szCs w:val="28"/>
        </w:rPr>
        <w:t xml:space="preserve"> № 10-20/422</w:t>
      </w:r>
      <w:r w:rsidRPr="008F2783">
        <w:rPr>
          <w:rFonts w:ascii="Times New Roman" w:hAnsi="Times New Roman" w:cs="Times New Roman"/>
          <w:sz w:val="28"/>
          <w:szCs w:val="28"/>
        </w:rPr>
        <w:t xml:space="preserve"> «О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проекта изменений муниципальной программы»;</w:t>
      </w:r>
    </w:p>
    <w:p w:rsidR="00284B87" w:rsidRDefault="00CA64D9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служебная записка</w:t>
      </w:r>
      <w:r w:rsidR="0026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84B8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Кул</w:t>
      </w:r>
      <w:r w:rsidR="002B0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7388">
        <w:rPr>
          <w:rFonts w:ascii="Times New Roman" w:hAnsi="Times New Roman" w:cs="Times New Roman"/>
          <w:color w:val="000000"/>
          <w:sz w:val="28"/>
          <w:szCs w:val="28"/>
        </w:rPr>
        <w:t>баки Нижегородской области от 03.12</w:t>
      </w:r>
      <w:r w:rsidR="00E16865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F87388">
        <w:rPr>
          <w:rFonts w:ascii="Times New Roman" w:hAnsi="Times New Roman" w:cs="Times New Roman"/>
          <w:color w:val="000000"/>
          <w:sz w:val="28"/>
          <w:szCs w:val="28"/>
        </w:rPr>
        <w:t xml:space="preserve"> № 02-06-517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66F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87388">
        <w:rPr>
          <w:rFonts w:ascii="Times New Roman" w:hAnsi="Times New Roman" w:cs="Times New Roman"/>
          <w:color w:val="000000"/>
          <w:sz w:val="28"/>
          <w:szCs w:val="28"/>
        </w:rPr>
        <w:t>) постановление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388" w:rsidRPr="00284B87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</w:t>
      </w:r>
      <w:r w:rsidR="00F8738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F87388">
        <w:rPr>
          <w:rFonts w:ascii="Times New Roman" w:hAnsi="Times New Roman" w:cs="Times New Roman"/>
          <w:sz w:val="28"/>
          <w:szCs w:val="28"/>
        </w:rPr>
        <w:t>от 11.12.2018 №3022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F873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F87388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87388">
        <w:rPr>
          <w:rFonts w:ascii="Times New Roman" w:hAnsi="Times New Roman" w:cs="Times New Roman"/>
          <w:sz w:val="28"/>
          <w:szCs w:val="28"/>
        </w:rPr>
        <w:t>»</w:t>
      </w:r>
      <w:r w:rsid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8F2783">
        <w:rPr>
          <w:rFonts w:ascii="Times New Roman" w:hAnsi="Times New Roman" w:cs="Times New Roman"/>
          <w:sz w:val="28"/>
          <w:szCs w:val="28"/>
        </w:rPr>
        <w:t>с приложениями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F278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E16865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 w:rsidRPr="00284B87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E16865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E16865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738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7388">
        <w:rPr>
          <w:rFonts w:ascii="Times New Roman" w:hAnsi="Times New Roman" w:cs="Times New Roman"/>
          <w:sz w:val="28"/>
          <w:szCs w:val="28"/>
        </w:rPr>
        <w:t>.10.2018 №2568</w:t>
      </w:r>
      <w:r w:rsidRPr="008F2783">
        <w:rPr>
          <w:rFonts w:ascii="Times New Roman" w:hAnsi="Times New Roman" w:cs="Times New Roman"/>
          <w:sz w:val="28"/>
          <w:szCs w:val="28"/>
        </w:rPr>
        <w:t>).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84B87" w:rsidRPr="00EB0E56" w:rsidRDefault="004D65E7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4B87" w:rsidRPr="00EB0E5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82">
        <w:rPr>
          <w:rFonts w:ascii="Times New Roman" w:hAnsi="Times New Roman" w:cs="Times New Roman"/>
          <w:sz w:val="28"/>
          <w:szCs w:val="28"/>
        </w:rPr>
        <w:t xml:space="preserve">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DE6D82"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основании пункта 4.1,</w:t>
      </w:r>
      <w:r w:rsidR="00E16865">
        <w:rPr>
          <w:rFonts w:ascii="Times New Roman" w:hAnsi="Times New Roman" w:cs="Times New Roman"/>
          <w:sz w:val="28"/>
          <w:szCs w:val="28"/>
        </w:rPr>
        <w:t xml:space="preserve">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Default="00DE6D82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="004D65E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D65E7"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4D65E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</w:t>
      </w:r>
      <w:r w:rsidR="004D3D00">
        <w:rPr>
          <w:rFonts w:ascii="Times New Roman" w:hAnsi="Times New Roman" w:cs="Times New Roman"/>
          <w:sz w:val="28"/>
          <w:szCs w:val="28"/>
        </w:rPr>
        <w:t>и пункта 4.2,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Pr="00EB0E56" w:rsidRDefault="009B5ACE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экспертизы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 постановления и анализа вносимых изменений установлено следующее.</w:t>
      </w:r>
    </w:p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Первоначально в паспорте программы разде</w:t>
      </w:r>
      <w:r w:rsidR="00E16865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EB0E56">
        <w:rPr>
          <w:rFonts w:ascii="Times New Roman" w:hAnsi="Times New Roman" w:cs="Times New Roman"/>
          <w:sz w:val="28"/>
          <w:szCs w:val="28"/>
        </w:rPr>
        <w:t xml:space="preserve">рограммы»  утвержден постановлением администрации в сумме </w:t>
      </w:r>
      <w:r w:rsidR="00B3484F">
        <w:rPr>
          <w:rFonts w:ascii="Times New Roman" w:hAnsi="Times New Roman" w:cs="Times New Roman"/>
          <w:sz w:val="28"/>
          <w:szCs w:val="28"/>
        </w:rPr>
        <w:t>40 176,6</w:t>
      </w:r>
      <w:r w:rsidR="004D65E7">
        <w:rPr>
          <w:rFonts w:ascii="Times New Roman" w:hAnsi="Times New Roman" w:cs="Times New Roman"/>
          <w:sz w:val="28"/>
          <w:szCs w:val="28"/>
        </w:rPr>
        <w:t xml:space="preserve"> </w:t>
      </w:r>
      <w:r w:rsidRPr="00EB0E56">
        <w:rPr>
          <w:rFonts w:ascii="Times New Roman" w:hAnsi="Times New Roman" w:cs="Times New Roman"/>
          <w:sz w:val="28"/>
          <w:szCs w:val="28"/>
        </w:rPr>
        <w:t>тыс. руб. с параметрами, представленными в Таблице №1.</w:t>
      </w:r>
    </w:p>
    <w:p w:rsidR="00284B87" w:rsidRPr="00EB0E56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284B87" w:rsidRPr="00EB0E56" w:rsidTr="00B3484F">
        <w:tc>
          <w:tcPr>
            <w:tcW w:w="3227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EB0E56" w:rsidTr="00B3484F">
        <w:tc>
          <w:tcPr>
            <w:tcW w:w="3227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b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</w:tbl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53F" w:rsidRPr="00466603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 w:rsidR="004D3D00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466603">
        <w:rPr>
          <w:rFonts w:ascii="Times New Roman" w:hAnsi="Times New Roman" w:cs="Times New Roman"/>
          <w:sz w:val="28"/>
          <w:szCs w:val="28"/>
        </w:rPr>
        <w:t xml:space="preserve">от </w:t>
      </w:r>
      <w:r w:rsidR="003D03C3">
        <w:rPr>
          <w:rFonts w:ascii="Times New Roman" w:hAnsi="Times New Roman" w:cs="Times New Roman"/>
          <w:sz w:val="28"/>
          <w:szCs w:val="28"/>
        </w:rPr>
        <w:t>1</w:t>
      </w:r>
      <w:r w:rsidR="009C6F2D">
        <w:rPr>
          <w:rFonts w:ascii="Times New Roman" w:hAnsi="Times New Roman" w:cs="Times New Roman"/>
          <w:sz w:val="28"/>
          <w:szCs w:val="28"/>
        </w:rPr>
        <w:t>8</w:t>
      </w:r>
      <w:r w:rsidR="009C6F2D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9C6F2D">
        <w:rPr>
          <w:rFonts w:ascii="Times New Roman" w:hAnsi="Times New Roman" w:cs="Times New Roman"/>
          <w:color w:val="000000"/>
          <w:sz w:val="28"/>
          <w:szCs w:val="28"/>
        </w:rPr>
        <w:t>2568</w:t>
      </w:r>
      <w:r w:rsidRPr="00466603">
        <w:rPr>
          <w:rFonts w:ascii="Times New Roman" w:hAnsi="Times New Roman" w:cs="Times New Roman"/>
          <w:sz w:val="28"/>
          <w:szCs w:val="28"/>
        </w:rPr>
        <w:t>. Изменения внесены в паспорт программы разде</w:t>
      </w:r>
      <w:r w:rsidR="00B3484F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466603">
        <w:rPr>
          <w:rFonts w:ascii="Times New Roman" w:hAnsi="Times New Roman" w:cs="Times New Roman"/>
          <w:sz w:val="28"/>
          <w:szCs w:val="28"/>
        </w:rPr>
        <w:t>рограммы» и представлены в Таблице №2.</w:t>
      </w:r>
    </w:p>
    <w:p w:rsidR="00284B87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AA4B22" w:rsidRPr="00466603" w:rsidTr="00B3484F">
        <w:tc>
          <w:tcPr>
            <w:tcW w:w="3198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AA4B22" w:rsidRPr="00466603" w:rsidTr="00B3484F">
        <w:tc>
          <w:tcPr>
            <w:tcW w:w="3198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CF" w:rsidRPr="00466603" w:rsidTr="00B3484F">
        <w:tc>
          <w:tcPr>
            <w:tcW w:w="3198" w:type="dxa"/>
            <w:vAlign w:val="center"/>
          </w:tcPr>
          <w:p w:rsidR="00226BCF" w:rsidRPr="00466603" w:rsidRDefault="00226BC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226BCF" w:rsidRPr="00DA7139" w:rsidRDefault="00226BCF" w:rsidP="00372C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14 275,7</w:t>
            </w:r>
          </w:p>
        </w:tc>
        <w:tc>
          <w:tcPr>
            <w:tcW w:w="1541" w:type="dxa"/>
            <w:vAlign w:val="center"/>
          </w:tcPr>
          <w:p w:rsidR="00226BCF" w:rsidRPr="00F6353F" w:rsidRDefault="00226BCF" w:rsidP="00372C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13 412,2</w:t>
            </w:r>
          </w:p>
        </w:tc>
        <w:tc>
          <w:tcPr>
            <w:tcW w:w="1603" w:type="dxa"/>
            <w:vAlign w:val="center"/>
          </w:tcPr>
          <w:p w:rsidR="00226BCF" w:rsidRPr="00F6353F" w:rsidRDefault="00226BCF" w:rsidP="00372C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13 417,5</w:t>
            </w:r>
          </w:p>
        </w:tc>
        <w:tc>
          <w:tcPr>
            <w:tcW w:w="2002" w:type="dxa"/>
            <w:vAlign w:val="center"/>
          </w:tcPr>
          <w:p w:rsidR="00226BCF" w:rsidRPr="00F6353F" w:rsidRDefault="00226BCF" w:rsidP="00372C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41 105,4</w:t>
            </w:r>
          </w:p>
        </w:tc>
      </w:tr>
      <w:tr w:rsidR="00226BCF" w:rsidRPr="00466603" w:rsidTr="00B3484F">
        <w:tc>
          <w:tcPr>
            <w:tcW w:w="3198" w:type="dxa"/>
            <w:vAlign w:val="center"/>
          </w:tcPr>
          <w:p w:rsidR="00226BCF" w:rsidRPr="00466603" w:rsidRDefault="00226BC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226BCF" w:rsidRPr="00DA7139" w:rsidRDefault="00226BCF" w:rsidP="00372C83">
            <w:pPr>
              <w:pStyle w:val="a3"/>
              <w:jc w:val="center"/>
            </w:pPr>
            <w:r>
              <w:t>14 275,7</w:t>
            </w:r>
          </w:p>
        </w:tc>
        <w:tc>
          <w:tcPr>
            <w:tcW w:w="1541" w:type="dxa"/>
            <w:vAlign w:val="center"/>
          </w:tcPr>
          <w:p w:rsidR="00226BCF" w:rsidRPr="00466603" w:rsidRDefault="00226BCF" w:rsidP="00372C8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13 412,2</w:t>
            </w:r>
          </w:p>
        </w:tc>
        <w:tc>
          <w:tcPr>
            <w:tcW w:w="1603" w:type="dxa"/>
            <w:vAlign w:val="center"/>
          </w:tcPr>
          <w:p w:rsidR="00226BCF" w:rsidRPr="00466603" w:rsidRDefault="00226BCF" w:rsidP="00372C8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13 417,5</w:t>
            </w:r>
          </w:p>
        </w:tc>
        <w:tc>
          <w:tcPr>
            <w:tcW w:w="2002" w:type="dxa"/>
            <w:vAlign w:val="center"/>
          </w:tcPr>
          <w:p w:rsidR="00226BCF" w:rsidRPr="00466603" w:rsidRDefault="00226BCF" w:rsidP="00372C8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41 105,4</w:t>
            </w:r>
          </w:p>
        </w:tc>
      </w:tr>
      <w:tr w:rsidR="00226BCF" w:rsidRPr="00466603" w:rsidTr="00B3484F">
        <w:tc>
          <w:tcPr>
            <w:tcW w:w="3198" w:type="dxa"/>
            <w:vAlign w:val="center"/>
          </w:tcPr>
          <w:p w:rsidR="00226BCF" w:rsidRPr="00466603" w:rsidRDefault="00226BC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226BCF" w:rsidRPr="00DA7139" w:rsidRDefault="00226BCF" w:rsidP="00372C83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226BCF" w:rsidRPr="00466603" w:rsidRDefault="00226BCF" w:rsidP="00372C8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226BCF" w:rsidRPr="00466603" w:rsidRDefault="00226BCF" w:rsidP="00372C8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226BCF" w:rsidRPr="00466603" w:rsidRDefault="00226BCF" w:rsidP="00372C8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6BCF" w:rsidRPr="00466603" w:rsidTr="00B3484F">
        <w:tc>
          <w:tcPr>
            <w:tcW w:w="3198" w:type="dxa"/>
            <w:vAlign w:val="center"/>
          </w:tcPr>
          <w:p w:rsidR="00226BCF" w:rsidRPr="00466603" w:rsidRDefault="00226BC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226BCF" w:rsidRPr="00DA7139" w:rsidRDefault="00226BCF" w:rsidP="00372C83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226BCF" w:rsidRPr="00466603" w:rsidRDefault="00226BCF" w:rsidP="00372C8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226BCF" w:rsidRPr="00466603" w:rsidRDefault="00226BCF" w:rsidP="00372C8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226BCF" w:rsidRPr="00466603" w:rsidRDefault="00226BCF" w:rsidP="00372C8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4B22" w:rsidRDefault="00AA4B22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444" w:rsidRPr="00466603" w:rsidRDefault="00226BCF" w:rsidP="003E5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постановлением внесено</w:t>
      </w:r>
      <w:r w:rsidR="003E5444" w:rsidRPr="00466603">
        <w:rPr>
          <w:rFonts w:ascii="Times New Roman" w:hAnsi="Times New Roman" w:cs="Times New Roman"/>
          <w:sz w:val="28"/>
          <w:szCs w:val="28"/>
        </w:rPr>
        <w:t xml:space="preserve"> изменение </w:t>
      </w:r>
      <w:r>
        <w:rPr>
          <w:rFonts w:ascii="Times New Roman" w:hAnsi="Times New Roman" w:cs="Times New Roman"/>
          <w:sz w:val="28"/>
          <w:szCs w:val="28"/>
        </w:rPr>
        <w:t>в объемы</w:t>
      </w:r>
      <w:r w:rsidR="003E5444" w:rsidRPr="00466603">
        <w:rPr>
          <w:rFonts w:ascii="Times New Roman" w:hAnsi="Times New Roman" w:cs="Times New Roman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sz w:val="28"/>
          <w:szCs w:val="28"/>
        </w:rPr>
        <w:t>ования программы, представленные</w:t>
      </w:r>
      <w:r w:rsidR="003E5444" w:rsidRPr="00466603">
        <w:rPr>
          <w:rFonts w:ascii="Times New Roman" w:hAnsi="Times New Roman" w:cs="Times New Roman"/>
          <w:sz w:val="28"/>
          <w:szCs w:val="28"/>
        </w:rPr>
        <w:t xml:space="preserve"> в Таблице №3.</w:t>
      </w:r>
    </w:p>
    <w:p w:rsidR="003E5444" w:rsidRPr="00466603" w:rsidRDefault="003E5444" w:rsidP="003E5444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3E5444" w:rsidRPr="00466603" w:rsidTr="00A742B9">
        <w:tc>
          <w:tcPr>
            <w:tcW w:w="3198" w:type="dxa"/>
            <w:vMerge w:val="restart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3E5444" w:rsidRPr="00466603" w:rsidTr="00A742B9">
        <w:tc>
          <w:tcPr>
            <w:tcW w:w="3198" w:type="dxa"/>
            <w:vMerge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4E8E">
              <w:rPr>
                <w:b/>
              </w:rPr>
              <w:t>4</w:t>
            </w:r>
            <w:r w:rsidR="002A60C2">
              <w:rPr>
                <w:b/>
              </w:rPr>
              <w:t> 195,7</w:t>
            </w:r>
          </w:p>
        </w:tc>
        <w:tc>
          <w:tcPr>
            <w:tcW w:w="1541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13 412,2</w:t>
            </w:r>
          </w:p>
        </w:tc>
        <w:tc>
          <w:tcPr>
            <w:tcW w:w="1603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13 417,5</w:t>
            </w:r>
          </w:p>
        </w:tc>
        <w:tc>
          <w:tcPr>
            <w:tcW w:w="2002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A60C2">
              <w:rPr>
                <w:b/>
              </w:rPr>
              <w:t>1 02</w:t>
            </w:r>
            <w:r w:rsidR="00924E8E">
              <w:rPr>
                <w:b/>
              </w:rPr>
              <w:t>5,4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1</w:t>
            </w:r>
            <w:r w:rsidR="00924E8E">
              <w:t>4</w:t>
            </w:r>
            <w:r w:rsidR="002A60C2">
              <w:t> 195,7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13 412,2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13 417,5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0C2">
              <w:rPr>
                <w:rFonts w:ascii="Times New Roman" w:hAnsi="Times New Roman" w:cs="Times New Roman"/>
                <w:sz w:val="24"/>
                <w:szCs w:val="24"/>
              </w:rPr>
              <w:t>1 02</w:t>
            </w:r>
            <w:r w:rsidR="00924E8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E5444" w:rsidRPr="00466603" w:rsidRDefault="003E5444" w:rsidP="003E544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444" w:rsidRPr="00A26CFB" w:rsidRDefault="00E66D40" w:rsidP="003E5444">
      <w:pPr>
        <w:pStyle w:val="ConsNormal"/>
        <w:ind w:left="-142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5444" w:rsidRPr="00A26CFB">
        <w:rPr>
          <w:rFonts w:ascii="Times New Roman" w:hAnsi="Times New Roman" w:cs="Times New Roman"/>
          <w:sz w:val="28"/>
          <w:szCs w:val="28"/>
        </w:rPr>
        <w:t>зменения связаны с уточнением объемов финансирования программы</w:t>
      </w:r>
      <w:r w:rsidR="003E5444">
        <w:rPr>
          <w:rFonts w:ascii="Times New Roman" w:hAnsi="Times New Roman" w:cs="Times New Roman"/>
          <w:sz w:val="28"/>
          <w:szCs w:val="28"/>
        </w:rPr>
        <w:t>, изменению наименований мероприятий, предусмотренных перечнем программы, являющимся приложением к постановлению администрации городского округа.</w:t>
      </w:r>
    </w:p>
    <w:p w:rsidR="003E5444" w:rsidRPr="00FF3AB2" w:rsidRDefault="003E5444" w:rsidP="003E5444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FB">
        <w:rPr>
          <w:sz w:val="28"/>
          <w:szCs w:val="28"/>
        </w:rPr>
        <w:t xml:space="preserve">  </w:t>
      </w:r>
      <w:r w:rsidR="00E66D4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FF3AB2">
        <w:rPr>
          <w:rFonts w:ascii="Times New Roman" w:hAnsi="Times New Roman" w:cs="Times New Roman"/>
          <w:sz w:val="28"/>
          <w:szCs w:val="28"/>
        </w:rPr>
        <w:t xml:space="preserve">изменений объем ассигнований на </w:t>
      </w:r>
      <w:r w:rsidR="00E66D40">
        <w:rPr>
          <w:rFonts w:ascii="Times New Roman" w:hAnsi="Times New Roman" w:cs="Times New Roman"/>
          <w:sz w:val="28"/>
          <w:szCs w:val="28"/>
        </w:rPr>
        <w:t>реализацию программы уменьшился на сумму 80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3AB2">
        <w:rPr>
          <w:rFonts w:ascii="Times New Roman" w:hAnsi="Times New Roman" w:cs="Times New Roman"/>
          <w:sz w:val="28"/>
          <w:szCs w:val="28"/>
        </w:rPr>
        <w:t xml:space="preserve"> тыс. рублей и составит  </w:t>
      </w:r>
      <w:r w:rsidR="00E66D40">
        <w:rPr>
          <w:rFonts w:ascii="Times New Roman" w:hAnsi="Times New Roman" w:cs="Times New Roman"/>
          <w:sz w:val="28"/>
          <w:szCs w:val="28"/>
        </w:rPr>
        <w:t>41 02</w:t>
      </w:r>
      <w:r>
        <w:rPr>
          <w:rFonts w:ascii="Times New Roman" w:hAnsi="Times New Roman" w:cs="Times New Roman"/>
          <w:sz w:val="28"/>
          <w:szCs w:val="28"/>
        </w:rPr>
        <w:t>5,4</w:t>
      </w:r>
      <w:r w:rsidR="00E66D40">
        <w:rPr>
          <w:rFonts w:ascii="Times New Roman" w:hAnsi="Times New Roman" w:cs="Times New Roman"/>
          <w:sz w:val="28"/>
          <w:szCs w:val="28"/>
        </w:rPr>
        <w:t xml:space="preserve"> тыс. рублей, в том числе  14 19</w:t>
      </w:r>
      <w:r w:rsidR="00840E8C">
        <w:rPr>
          <w:rFonts w:ascii="Times New Roman" w:hAnsi="Times New Roman" w:cs="Times New Roman"/>
          <w:sz w:val="28"/>
          <w:szCs w:val="28"/>
        </w:rPr>
        <w:t>5,7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 2018</w:t>
      </w:r>
      <w:r w:rsidR="00840E8C">
        <w:rPr>
          <w:rFonts w:ascii="Times New Roman" w:hAnsi="Times New Roman" w:cs="Times New Roman"/>
          <w:sz w:val="28"/>
          <w:szCs w:val="28"/>
        </w:rPr>
        <w:t xml:space="preserve"> году, что составляет </w:t>
      </w:r>
      <w:r w:rsidR="00E66D40">
        <w:rPr>
          <w:rFonts w:ascii="Times New Roman" w:hAnsi="Times New Roman" w:cs="Times New Roman"/>
          <w:sz w:val="28"/>
          <w:szCs w:val="28"/>
        </w:rPr>
        <w:t>111,4</w:t>
      </w:r>
      <w:r w:rsidR="00DE3EF6">
        <w:rPr>
          <w:rFonts w:ascii="Times New Roman" w:hAnsi="Times New Roman" w:cs="Times New Roman"/>
          <w:sz w:val="28"/>
          <w:szCs w:val="28"/>
        </w:rPr>
        <w:t>% к первоначальному плану.</w:t>
      </w:r>
      <w:r w:rsidRPr="00FF3AB2">
        <w:rPr>
          <w:rFonts w:ascii="Times New Roman" w:hAnsi="Times New Roman" w:cs="Times New Roman"/>
          <w:sz w:val="28"/>
          <w:szCs w:val="28"/>
        </w:rPr>
        <w:t xml:space="preserve"> Увели</w:t>
      </w:r>
      <w:r>
        <w:rPr>
          <w:rFonts w:ascii="Times New Roman" w:hAnsi="Times New Roman" w:cs="Times New Roman"/>
          <w:sz w:val="28"/>
          <w:szCs w:val="28"/>
        </w:rPr>
        <w:t>чение объема ассигнований в 2018</w:t>
      </w:r>
      <w:r w:rsidRPr="00FF3AB2">
        <w:rPr>
          <w:rFonts w:ascii="Times New Roman" w:hAnsi="Times New Roman" w:cs="Times New Roman"/>
          <w:sz w:val="28"/>
          <w:szCs w:val="28"/>
        </w:rPr>
        <w:t xml:space="preserve"> году предлагается за счет средств бюджета городского округа.</w:t>
      </w:r>
    </w:p>
    <w:p w:rsidR="006D084B" w:rsidRPr="003D03C3" w:rsidRDefault="006D084B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84B" w:rsidRPr="005946BC" w:rsidRDefault="006D084B" w:rsidP="006B3D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2.Анализ изменений, вносимых в Программу</w:t>
      </w:r>
    </w:p>
    <w:p w:rsidR="006D084B" w:rsidRDefault="006D084B" w:rsidP="006D0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2.1.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 Согласно постановлению администрации городского округа город Кулебаки 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Нижегородской области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66D40">
        <w:rPr>
          <w:rFonts w:ascii="Times New Roman" w:hAnsi="Times New Roman" w:cs="Times New Roman"/>
          <w:sz w:val="28"/>
          <w:szCs w:val="28"/>
          <w:lang w:eastAsia="ru-RU"/>
        </w:rPr>
        <w:t>18.10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E66D40">
        <w:rPr>
          <w:rFonts w:ascii="Times New Roman" w:hAnsi="Times New Roman" w:cs="Times New Roman"/>
          <w:sz w:val="28"/>
          <w:szCs w:val="28"/>
          <w:lang w:eastAsia="ru-RU"/>
        </w:rPr>
        <w:t>8 №2568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Pr="005946BC"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 «Управление муниципальными финансами городского округа горо</w:t>
      </w:r>
      <w:r w:rsidR="005E6AE0" w:rsidRPr="005946BC">
        <w:rPr>
          <w:rFonts w:ascii="Times New Roman" w:hAnsi="Times New Roman" w:cs="Times New Roman"/>
          <w:sz w:val="28"/>
          <w:szCs w:val="28"/>
        </w:rPr>
        <w:t>д Кулебаки</w:t>
      </w:r>
      <w:r w:rsidRPr="005946BC">
        <w:rPr>
          <w:rFonts w:ascii="Times New Roman" w:hAnsi="Times New Roman" w:cs="Times New Roman"/>
          <w:sz w:val="28"/>
          <w:szCs w:val="28"/>
        </w:rPr>
        <w:t xml:space="preserve"> на</w:t>
      </w:r>
      <w:r w:rsidR="005E6AE0" w:rsidRPr="005946BC">
        <w:rPr>
          <w:rFonts w:ascii="Times New Roman" w:hAnsi="Times New Roman" w:cs="Times New Roman"/>
          <w:sz w:val="28"/>
          <w:szCs w:val="28"/>
        </w:rPr>
        <w:t xml:space="preserve"> 2018-2020</w:t>
      </w:r>
      <w:r w:rsidRPr="005946BC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5E6AE0" w:rsidRPr="005946BC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округа город Кулебаки Нижегородской области от  16.10.2017 года № 2460»</w:t>
      </w:r>
      <w:r w:rsidRPr="005946BC">
        <w:rPr>
          <w:rFonts w:ascii="Times New Roman" w:hAnsi="Times New Roman"/>
          <w:sz w:val="28"/>
          <w:szCs w:val="28"/>
        </w:rPr>
        <w:t xml:space="preserve"> 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>ъём ассигнований на реализацию 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рограммы:</w:t>
      </w:r>
    </w:p>
    <w:p w:rsidR="009F7E8C" w:rsidRPr="005946BC" w:rsidRDefault="009F7E8C" w:rsidP="009F7E8C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lastRenderedPageBreak/>
        <w:t xml:space="preserve">по подпрограмме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46BC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Организация и совершенствование бюджетного процесса в городском округе город Кулебаки</w:t>
      </w:r>
      <w:r w:rsidRPr="005946B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 задаче 1.3. «Эффективное управление муниципальным долгом</w:t>
      </w:r>
      <w:r w:rsidRPr="005946BC">
        <w:rPr>
          <w:rFonts w:ascii="Times New Roman" w:hAnsi="Times New Roman" w:cs="Times New Roman"/>
          <w:sz w:val="28"/>
          <w:szCs w:val="28"/>
        </w:rPr>
        <w:t xml:space="preserve">», по основному </w:t>
      </w:r>
      <w:r>
        <w:rPr>
          <w:rFonts w:ascii="Times New Roman" w:hAnsi="Times New Roman" w:cs="Times New Roman"/>
          <w:sz w:val="28"/>
          <w:szCs w:val="28"/>
        </w:rPr>
        <w:t>мероприятию 1.3</w:t>
      </w:r>
      <w:r w:rsidRPr="00594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6BC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городского округа</w:t>
      </w:r>
      <w:r w:rsidRPr="005946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 мероприятию 1.3.2.2. «Обеспечение исполнения расходов на обслуживание долговых обязательств городского округа</w:t>
      </w:r>
      <w:r w:rsidRPr="005946BC">
        <w:rPr>
          <w:rFonts w:ascii="Times New Roman" w:hAnsi="Times New Roman" w:cs="Times New Roman"/>
          <w:sz w:val="28"/>
          <w:szCs w:val="28"/>
        </w:rPr>
        <w:t xml:space="preserve">» </w:t>
      </w:r>
      <w:r w:rsidR="005D314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5946BC">
        <w:rPr>
          <w:rFonts w:ascii="Times New Roman" w:hAnsi="Times New Roman" w:cs="Times New Roman"/>
          <w:sz w:val="28"/>
          <w:szCs w:val="28"/>
        </w:rPr>
        <w:t>п</w:t>
      </w:r>
      <w:r w:rsidR="005D3148">
        <w:rPr>
          <w:rFonts w:ascii="Times New Roman" w:hAnsi="Times New Roman" w:cs="Times New Roman"/>
          <w:sz w:val="28"/>
          <w:szCs w:val="28"/>
        </w:rPr>
        <w:t>редусмотрен в сумме 80</w:t>
      </w:r>
      <w:r w:rsidRPr="005946BC">
        <w:rPr>
          <w:rFonts w:ascii="Times New Roman" w:hAnsi="Times New Roman" w:cs="Times New Roman"/>
          <w:sz w:val="28"/>
          <w:szCs w:val="28"/>
        </w:rPr>
        <w:t>,0 тыс. руб.</w:t>
      </w:r>
    </w:p>
    <w:p w:rsidR="009F7E8C" w:rsidRPr="005946BC" w:rsidRDefault="00BA57B8" w:rsidP="009F7E8C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останов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лением</w:t>
      </w:r>
      <w:r w:rsidR="005D3148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предусматривается уменьшение</w:t>
      </w:r>
      <w:r w:rsidR="009F7E8C"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объёма ассигнований на реализацию программы</w:t>
      </w:r>
      <w:r w:rsidR="009F7E8C" w:rsidRPr="005946BC">
        <w:rPr>
          <w:rFonts w:ascii="Times New Roman" w:hAnsi="Times New Roman" w:cs="Times New Roman"/>
          <w:sz w:val="28"/>
          <w:szCs w:val="28"/>
        </w:rPr>
        <w:t xml:space="preserve"> по подпрограмме </w:t>
      </w:r>
      <w:r w:rsidR="009F7E8C">
        <w:rPr>
          <w:rFonts w:ascii="Times New Roman" w:hAnsi="Times New Roman" w:cs="Times New Roman"/>
          <w:sz w:val="28"/>
          <w:szCs w:val="28"/>
        </w:rPr>
        <w:t>1</w:t>
      </w:r>
      <w:r w:rsidR="009F7E8C" w:rsidRPr="005946BC">
        <w:rPr>
          <w:rFonts w:ascii="Times New Roman" w:hAnsi="Times New Roman" w:cs="Times New Roman"/>
          <w:sz w:val="28"/>
          <w:szCs w:val="28"/>
        </w:rPr>
        <w:t>. «</w:t>
      </w:r>
      <w:r w:rsidR="009F7E8C">
        <w:rPr>
          <w:rFonts w:ascii="Times New Roman" w:hAnsi="Times New Roman" w:cs="Times New Roman"/>
          <w:sz w:val="28"/>
          <w:szCs w:val="28"/>
        </w:rPr>
        <w:t>Организация и совершенствование бюджетного процесса в городском округе город Кулебаки</w:t>
      </w:r>
      <w:r w:rsidR="009F7E8C" w:rsidRPr="005946BC">
        <w:rPr>
          <w:rFonts w:ascii="Times New Roman" w:hAnsi="Times New Roman" w:cs="Times New Roman"/>
          <w:sz w:val="28"/>
          <w:szCs w:val="28"/>
        </w:rPr>
        <w:t>»,</w:t>
      </w:r>
      <w:r w:rsidR="009F7E8C">
        <w:rPr>
          <w:rFonts w:ascii="Times New Roman" w:hAnsi="Times New Roman" w:cs="Times New Roman"/>
          <w:sz w:val="28"/>
          <w:szCs w:val="28"/>
        </w:rPr>
        <w:t xml:space="preserve"> по задаче 1.3. «Эффективное управление муниципальным долгом</w:t>
      </w:r>
      <w:r w:rsidR="009F7E8C" w:rsidRPr="005946BC">
        <w:rPr>
          <w:rFonts w:ascii="Times New Roman" w:hAnsi="Times New Roman" w:cs="Times New Roman"/>
          <w:sz w:val="28"/>
          <w:szCs w:val="28"/>
        </w:rPr>
        <w:t xml:space="preserve">», по основному </w:t>
      </w:r>
      <w:r w:rsidR="009F7E8C">
        <w:rPr>
          <w:rFonts w:ascii="Times New Roman" w:hAnsi="Times New Roman" w:cs="Times New Roman"/>
          <w:sz w:val="28"/>
          <w:szCs w:val="28"/>
        </w:rPr>
        <w:t>мероприятию 1.3</w:t>
      </w:r>
      <w:r w:rsidR="009F7E8C" w:rsidRPr="005946BC">
        <w:rPr>
          <w:rFonts w:ascii="Times New Roman" w:hAnsi="Times New Roman" w:cs="Times New Roman"/>
          <w:sz w:val="28"/>
          <w:szCs w:val="28"/>
        </w:rPr>
        <w:t>.</w:t>
      </w:r>
      <w:r w:rsidR="009F7E8C">
        <w:rPr>
          <w:rFonts w:ascii="Times New Roman" w:hAnsi="Times New Roman" w:cs="Times New Roman"/>
          <w:sz w:val="28"/>
          <w:szCs w:val="28"/>
        </w:rPr>
        <w:t>2</w:t>
      </w:r>
      <w:r w:rsidR="009F7E8C" w:rsidRPr="005946BC">
        <w:rPr>
          <w:rFonts w:ascii="Times New Roman" w:hAnsi="Times New Roman" w:cs="Times New Roman"/>
          <w:sz w:val="28"/>
          <w:szCs w:val="28"/>
        </w:rPr>
        <w:t>. «</w:t>
      </w:r>
      <w:r w:rsidR="009F7E8C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городского округа</w:t>
      </w:r>
      <w:r w:rsidR="009F7E8C" w:rsidRPr="005946BC">
        <w:rPr>
          <w:rFonts w:ascii="Times New Roman" w:hAnsi="Times New Roman" w:cs="Times New Roman"/>
          <w:sz w:val="28"/>
          <w:szCs w:val="28"/>
        </w:rPr>
        <w:t>»</w:t>
      </w:r>
      <w:r w:rsidR="009F7E8C">
        <w:rPr>
          <w:rFonts w:ascii="Times New Roman" w:hAnsi="Times New Roman" w:cs="Times New Roman"/>
          <w:sz w:val="28"/>
          <w:szCs w:val="28"/>
        </w:rPr>
        <w:t>, по мероприятию 1.3.2.2. «Обеспечение исполнения расходов на обслуживание долговых обязательств городского округа</w:t>
      </w:r>
      <w:r w:rsidR="009F7E8C" w:rsidRPr="005946BC">
        <w:rPr>
          <w:rFonts w:ascii="Times New Roman" w:hAnsi="Times New Roman" w:cs="Times New Roman"/>
          <w:sz w:val="28"/>
          <w:szCs w:val="28"/>
        </w:rPr>
        <w:t xml:space="preserve">» за счет средств бюджета городского округа на сумму </w:t>
      </w:r>
      <w:r w:rsidR="009F7E8C">
        <w:rPr>
          <w:rFonts w:ascii="Times New Roman" w:hAnsi="Times New Roman" w:cs="Times New Roman"/>
          <w:sz w:val="28"/>
          <w:szCs w:val="28"/>
        </w:rPr>
        <w:t>80,0</w:t>
      </w:r>
      <w:r w:rsidR="009F7E8C" w:rsidRPr="005946BC">
        <w:rPr>
          <w:rFonts w:ascii="Times New Roman" w:hAnsi="Times New Roman" w:cs="Times New Roman"/>
          <w:sz w:val="28"/>
          <w:szCs w:val="28"/>
        </w:rPr>
        <w:t xml:space="preserve"> тыс. руб., объем ассигнований</w:t>
      </w:r>
      <w:r w:rsidR="005D3148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9F7E8C">
        <w:rPr>
          <w:rFonts w:ascii="Times New Roman" w:hAnsi="Times New Roman" w:cs="Times New Roman"/>
          <w:sz w:val="28"/>
          <w:szCs w:val="28"/>
        </w:rPr>
        <w:t>0,0</w:t>
      </w:r>
      <w:r w:rsidR="009F7E8C" w:rsidRPr="005946B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D3148">
        <w:rPr>
          <w:rFonts w:ascii="Times New Roman" w:hAnsi="Times New Roman" w:cs="Times New Roman"/>
          <w:sz w:val="28"/>
          <w:szCs w:val="28"/>
        </w:rPr>
        <w:t>Уменьшение финансирования связано с отсутствием необходимости в расходах на обслуживание долгового обязательства</w:t>
      </w:r>
      <w:r w:rsidR="009F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E8C" w:rsidRPr="005946BC" w:rsidRDefault="009F7E8C" w:rsidP="006D0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BDF" w:rsidRPr="005946BC" w:rsidRDefault="000C4BDF" w:rsidP="000C4BDF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t xml:space="preserve">по подпрограмме 2. «Повышение эффективности бюджетных расходов городского округа город Кулебаки», по задаче 2.5. «Развитие информационной системы управления муниципальными финансами городского округа», по основному мероприятию 2.5.1. «Обеспечение информационной, технической и консультационной поддержкой бюджетного процесса», по мероприятию 2.5.1.1. «Поддержание в рабочем состоянии программных продуктов финансового управления, информационное сопровождение» </w:t>
      </w:r>
      <w:r w:rsidR="005D314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5946BC">
        <w:rPr>
          <w:rFonts w:ascii="Times New Roman" w:hAnsi="Times New Roman" w:cs="Times New Roman"/>
          <w:sz w:val="28"/>
          <w:szCs w:val="28"/>
        </w:rPr>
        <w:t>п</w:t>
      </w:r>
      <w:r w:rsidR="005D3148">
        <w:rPr>
          <w:rFonts w:ascii="Times New Roman" w:hAnsi="Times New Roman" w:cs="Times New Roman"/>
          <w:sz w:val="28"/>
          <w:szCs w:val="28"/>
        </w:rPr>
        <w:t>редусмотрен в сумме 3 3</w:t>
      </w:r>
      <w:r>
        <w:rPr>
          <w:rFonts w:ascii="Times New Roman" w:hAnsi="Times New Roman" w:cs="Times New Roman"/>
          <w:sz w:val="28"/>
          <w:szCs w:val="28"/>
        </w:rPr>
        <w:t>88,8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0C4BDF" w:rsidRDefault="005D3148" w:rsidP="000C4BDF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4BDF" w:rsidRPr="005946BC">
        <w:rPr>
          <w:rFonts w:ascii="Times New Roman" w:hAnsi="Times New Roman" w:cs="Times New Roman"/>
          <w:sz w:val="28"/>
          <w:szCs w:val="28"/>
          <w:lang w:eastAsia="ru-RU"/>
        </w:rPr>
        <w:t>остановл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ением</w:t>
      </w:r>
      <w:r w:rsidR="000C4BDF"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предусматривается увеличение объёма ассигнований на реализацию программы</w:t>
      </w:r>
      <w:r w:rsidR="000C4BDF" w:rsidRPr="005946BC">
        <w:rPr>
          <w:rFonts w:ascii="Times New Roman" w:hAnsi="Times New Roman" w:cs="Times New Roman"/>
          <w:sz w:val="28"/>
          <w:szCs w:val="28"/>
        </w:rPr>
        <w:t xml:space="preserve"> по подпрограмме 2. «Повышение эффективности бюджетных расходов городского округа город Кулебаки», по задаче 2.5. «Развитие информационной системы управления муниципальными финансами городского округа», по основному мероприятию 2.5.1. «Обеспечение информационной, технической и консультационной поддержкой бюджетного процесса», по мероприятию 2.5.1.1. «Поддержание в рабочем состоянии программных продуктов финансового управления, информационное сопровождение» за счет средств бюджета городского округа </w:t>
      </w:r>
      <w:r w:rsidR="000C4BDF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597,0</w:t>
      </w:r>
      <w:r w:rsidR="000C4B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4BDF" w:rsidRPr="005946BC">
        <w:rPr>
          <w:rFonts w:ascii="Times New Roman" w:hAnsi="Times New Roman" w:cs="Times New Roman"/>
          <w:sz w:val="28"/>
          <w:szCs w:val="28"/>
        </w:rPr>
        <w:t>, объем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составит 3 985</w:t>
      </w:r>
      <w:r w:rsidR="0008188E">
        <w:rPr>
          <w:rFonts w:ascii="Times New Roman" w:hAnsi="Times New Roman" w:cs="Times New Roman"/>
          <w:sz w:val="28"/>
          <w:szCs w:val="28"/>
        </w:rPr>
        <w:t>,8 тыс. рублей</w:t>
      </w:r>
      <w:r w:rsidR="000C4BDF">
        <w:rPr>
          <w:rFonts w:ascii="Times New Roman" w:hAnsi="Times New Roman" w:cs="Times New Roman"/>
          <w:sz w:val="28"/>
          <w:szCs w:val="28"/>
        </w:rPr>
        <w:t>.</w:t>
      </w:r>
    </w:p>
    <w:p w:rsidR="00F22135" w:rsidRDefault="00F22135" w:rsidP="000C4BDF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</w:p>
    <w:p w:rsidR="00F22135" w:rsidRPr="005946BC" w:rsidRDefault="00F22135" w:rsidP="00F22135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t>по подпр</w:t>
      </w:r>
      <w:r>
        <w:rPr>
          <w:rFonts w:ascii="Times New Roman" w:hAnsi="Times New Roman" w:cs="Times New Roman"/>
          <w:sz w:val="28"/>
          <w:szCs w:val="28"/>
        </w:rPr>
        <w:t>ограмме 3. «Обеспечение реализации муниципальной программы</w:t>
      </w:r>
      <w:r w:rsidR="0037419B">
        <w:rPr>
          <w:rFonts w:ascii="Times New Roman" w:hAnsi="Times New Roman" w:cs="Times New Roman"/>
          <w:sz w:val="28"/>
          <w:szCs w:val="28"/>
        </w:rPr>
        <w:t>», по задаче 3.1. «Эффективная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городского округа город Кулебаки», по основному мероприятию 3.1</w:t>
      </w:r>
      <w:r w:rsidRPr="005946BC">
        <w:rPr>
          <w:rFonts w:ascii="Times New Roman" w:hAnsi="Times New Roman" w:cs="Times New Roman"/>
          <w:sz w:val="28"/>
          <w:szCs w:val="28"/>
        </w:rPr>
        <w:t>.1</w:t>
      </w:r>
      <w:r w:rsidR="00C84116">
        <w:rPr>
          <w:rFonts w:ascii="Times New Roman" w:hAnsi="Times New Roman" w:cs="Times New Roman"/>
          <w:sz w:val="28"/>
          <w:szCs w:val="28"/>
        </w:rPr>
        <w:t xml:space="preserve">. </w:t>
      </w:r>
      <w:r w:rsidR="00C84116">
        <w:rPr>
          <w:rFonts w:ascii="Times New Roman" w:hAnsi="Times New Roman" w:cs="Times New Roman"/>
          <w:sz w:val="28"/>
          <w:szCs w:val="28"/>
        </w:rPr>
        <w:lastRenderedPageBreak/>
        <w:t>«Обеспечение деятельности финансового управления администрации городского округа город Кулебаки»</w:t>
      </w:r>
      <w:r w:rsidRPr="0059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5946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C84116">
        <w:rPr>
          <w:rFonts w:ascii="Times New Roman" w:hAnsi="Times New Roman" w:cs="Times New Roman"/>
          <w:sz w:val="28"/>
          <w:szCs w:val="28"/>
        </w:rPr>
        <w:t>дусмотрен в сумме 10 806,9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F22135" w:rsidRPr="005946BC" w:rsidRDefault="00F22135" w:rsidP="00F22135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остановл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ением</w:t>
      </w:r>
      <w:r w:rsidR="00C84116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предусматривается уменьшение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объёма ассигнований на реализацию программы</w:t>
      </w:r>
      <w:r w:rsidRPr="005946BC">
        <w:rPr>
          <w:rFonts w:ascii="Times New Roman" w:hAnsi="Times New Roman" w:cs="Times New Roman"/>
          <w:sz w:val="28"/>
          <w:szCs w:val="28"/>
        </w:rPr>
        <w:t xml:space="preserve"> по </w:t>
      </w:r>
      <w:r w:rsidR="00C84116" w:rsidRPr="005946BC">
        <w:rPr>
          <w:rFonts w:ascii="Times New Roman" w:hAnsi="Times New Roman" w:cs="Times New Roman"/>
          <w:sz w:val="28"/>
          <w:szCs w:val="28"/>
        </w:rPr>
        <w:t>подпр</w:t>
      </w:r>
      <w:r w:rsidR="00C84116">
        <w:rPr>
          <w:rFonts w:ascii="Times New Roman" w:hAnsi="Times New Roman" w:cs="Times New Roman"/>
          <w:sz w:val="28"/>
          <w:szCs w:val="28"/>
        </w:rPr>
        <w:t>ограмме 3. «Обеспечение реализации муниципальной программы», по задаче 3.1. «Эффективная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городского округа город Кулебаки», по основному мероприятию 3.1</w:t>
      </w:r>
      <w:r w:rsidR="00C84116" w:rsidRPr="005946BC">
        <w:rPr>
          <w:rFonts w:ascii="Times New Roman" w:hAnsi="Times New Roman" w:cs="Times New Roman"/>
          <w:sz w:val="28"/>
          <w:szCs w:val="28"/>
        </w:rPr>
        <w:t>.1</w:t>
      </w:r>
      <w:r w:rsidR="00C84116">
        <w:rPr>
          <w:rFonts w:ascii="Times New Roman" w:hAnsi="Times New Roman" w:cs="Times New Roman"/>
          <w:sz w:val="28"/>
          <w:szCs w:val="28"/>
        </w:rPr>
        <w:t>. «Обеспечение деятельности финансового управления администрации городского округа город Кулебаки»</w:t>
      </w:r>
      <w:r w:rsidRPr="005946BC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на сумму 597,0 тыс. рублей</w:t>
      </w:r>
      <w:r w:rsidR="00C84116">
        <w:rPr>
          <w:rFonts w:ascii="Times New Roman" w:hAnsi="Times New Roman" w:cs="Times New Roman"/>
          <w:sz w:val="28"/>
          <w:szCs w:val="28"/>
        </w:rPr>
        <w:t xml:space="preserve"> путем переноса </w:t>
      </w:r>
      <w:r w:rsidR="00486B36" w:rsidRPr="00486B36">
        <w:rPr>
          <w:rFonts w:ascii="Times New Roman" w:hAnsi="Times New Roman" w:cs="Times New Roman"/>
          <w:sz w:val="28"/>
          <w:szCs w:val="28"/>
        </w:rPr>
        <w:t xml:space="preserve">объема финансирования </w:t>
      </w:r>
      <w:r w:rsidR="00486B36">
        <w:rPr>
          <w:rFonts w:ascii="Times New Roman" w:hAnsi="Times New Roman" w:cs="Times New Roman"/>
          <w:sz w:val="28"/>
          <w:szCs w:val="28"/>
        </w:rPr>
        <w:t xml:space="preserve">на выполнение мероприятия </w:t>
      </w:r>
      <w:r w:rsidR="00486B36" w:rsidRPr="005946BC">
        <w:rPr>
          <w:rFonts w:ascii="Times New Roman" w:hAnsi="Times New Roman" w:cs="Times New Roman"/>
          <w:sz w:val="28"/>
          <w:szCs w:val="28"/>
        </w:rPr>
        <w:t>2.5.1.1. «Поддержание в рабочем состоянии программных продуктов финансового управления, информационное сопровождение»</w:t>
      </w:r>
      <w:r w:rsidRPr="00486B36">
        <w:rPr>
          <w:rFonts w:ascii="Times New Roman" w:hAnsi="Times New Roman" w:cs="Times New Roman"/>
          <w:sz w:val="28"/>
          <w:szCs w:val="28"/>
        </w:rPr>
        <w:t>, объем ассигнований</w:t>
      </w:r>
      <w:r w:rsidR="00107BC1">
        <w:rPr>
          <w:rFonts w:ascii="Times New Roman" w:hAnsi="Times New Roman" w:cs="Times New Roman"/>
          <w:sz w:val="28"/>
          <w:szCs w:val="28"/>
        </w:rPr>
        <w:t xml:space="preserve"> составит 10 209,9</w:t>
      </w:r>
      <w:r w:rsidRPr="00486B36">
        <w:rPr>
          <w:rFonts w:ascii="Times New Roman" w:hAnsi="Times New Roman" w:cs="Times New Roman"/>
          <w:sz w:val="28"/>
          <w:szCs w:val="28"/>
        </w:rPr>
        <w:t xml:space="preserve"> тыс</w:t>
      </w:r>
      <w:r w:rsidR="00107BC1">
        <w:rPr>
          <w:rFonts w:ascii="Times New Roman" w:hAnsi="Times New Roman" w:cs="Times New Roman"/>
          <w:sz w:val="28"/>
          <w:szCs w:val="28"/>
        </w:rPr>
        <w:t>. рублей.</w:t>
      </w:r>
      <w:r w:rsidRPr="0059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CE" w:rsidRPr="003D03C3" w:rsidRDefault="00C745CE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76D7" w:rsidRPr="00943188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107BC1">
        <w:rPr>
          <w:rFonts w:ascii="Times New Roman" w:hAnsi="Times New Roman" w:cs="Times New Roman"/>
          <w:sz w:val="28"/>
          <w:szCs w:val="28"/>
        </w:rPr>
        <w:t> Постановлением внесены</w:t>
      </w:r>
      <w:r w:rsidRPr="00943188">
        <w:rPr>
          <w:rFonts w:ascii="Times New Roman" w:hAnsi="Times New Roman" w:cs="Times New Roman"/>
          <w:sz w:val="28"/>
          <w:szCs w:val="28"/>
        </w:rPr>
        <w:t xml:space="preserve"> изменения в разделы паспорта программы.</w:t>
      </w:r>
    </w:p>
    <w:p w:rsidR="00A176D7" w:rsidRPr="00943188" w:rsidRDefault="00107BC1" w:rsidP="00A176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DA58FC" w:rsidRPr="00943188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е 1 </w:t>
      </w:r>
      <w:r w:rsidR="00B85A10">
        <w:rPr>
          <w:rFonts w:ascii="Times New Roman" w:hAnsi="Times New Roman"/>
          <w:sz w:val="28"/>
          <w:szCs w:val="28"/>
        </w:rPr>
        <w:t xml:space="preserve"> «Паспорт муниципальной программы»</w:t>
      </w:r>
      <w:r w:rsidR="00150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</w:t>
      </w:r>
      <w:r w:rsidR="00DA58FC" w:rsidRPr="00943188">
        <w:rPr>
          <w:rFonts w:ascii="Times New Roman" w:hAnsi="Times New Roman"/>
          <w:sz w:val="28"/>
          <w:szCs w:val="28"/>
        </w:rPr>
        <w:t xml:space="preserve"> «Объемы финансирования п</w:t>
      </w:r>
      <w:r w:rsidR="00A176D7" w:rsidRPr="00943188">
        <w:rPr>
          <w:rFonts w:ascii="Times New Roman" w:hAnsi="Times New Roman"/>
          <w:sz w:val="28"/>
          <w:szCs w:val="28"/>
        </w:rPr>
        <w:t>рограммы» изложен в новой редакции.</w:t>
      </w:r>
    </w:p>
    <w:p w:rsidR="00A176D7" w:rsidRPr="00943188" w:rsidRDefault="00A176D7" w:rsidP="00A176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1 «Перечень основных мероприятий муниципальной программы «Управление муниципальными финансами городского округа горо</w:t>
      </w:r>
      <w:r w:rsidR="00DA58FC" w:rsidRPr="00943188">
        <w:rPr>
          <w:rFonts w:ascii="Times New Roman" w:hAnsi="Times New Roman" w:cs="Times New Roman"/>
          <w:sz w:val="28"/>
          <w:szCs w:val="28"/>
        </w:rPr>
        <w:t>д Кулебаки на 2018-2020 годы»» раздела 2.4.</w:t>
      </w:r>
      <w:r w:rsidR="007A408C" w:rsidRPr="00943188">
        <w:rPr>
          <w:rFonts w:ascii="Times New Roman" w:hAnsi="Times New Roman" w:cs="Times New Roman"/>
          <w:sz w:val="28"/>
          <w:szCs w:val="28"/>
        </w:rPr>
        <w:t xml:space="preserve">  «Перечень основных мероприятий муниципальной программы</w:t>
      </w:r>
      <w:r w:rsidRPr="00943188">
        <w:rPr>
          <w:rFonts w:ascii="Times New Roman" w:hAnsi="Times New Roman" w:cs="Times New Roman"/>
          <w:sz w:val="28"/>
          <w:szCs w:val="28"/>
        </w:rPr>
        <w:t>» изложена в новой редакции согласно приложению к проекту постановления.</w:t>
      </w:r>
    </w:p>
    <w:p w:rsidR="00A176D7" w:rsidRDefault="007A408C" w:rsidP="00A176D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4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за счет средст</w:t>
      </w:r>
      <w:r w:rsidR="00980169" w:rsidRPr="00943188">
        <w:rPr>
          <w:rFonts w:ascii="Times New Roman" w:hAnsi="Times New Roman" w:cs="Times New Roman"/>
          <w:sz w:val="28"/>
          <w:szCs w:val="28"/>
        </w:rPr>
        <w:t>в бюджета городского округа» и т</w:t>
      </w:r>
      <w:r w:rsidRPr="00943188">
        <w:rPr>
          <w:rFonts w:ascii="Times New Roman" w:hAnsi="Times New Roman" w:cs="Times New Roman"/>
          <w:sz w:val="28"/>
          <w:szCs w:val="28"/>
        </w:rPr>
        <w:t>аблица 5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«Прогнозная оценка расходов на реализацию муниципальной программы  за счет всех источн</w:t>
      </w:r>
      <w:r w:rsidR="00020D44" w:rsidRPr="00943188">
        <w:rPr>
          <w:rFonts w:ascii="Times New Roman" w:hAnsi="Times New Roman" w:cs="Times New Roman"/>
          <w:sz w:val="28"/>
          <w:szCs w:val="28"/>
        </w:rPr>
        <w:t xml:space="preserve">иков финансирования» </w:t>
      </w:r>
      <w:r w:rsidRPr="00943188">
        <w:rPr>
          <w:rFonts w:ascii="Times New Roman" w:hAnsi="Times New Roman" w:cs="Times New Roman"/>
          <w:sz w:val="28"/>
          <w:szCs w:val="28"/>
        </w:rPr>
        <w:t>раздела 2.8.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Pr="00943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76D7" w:rsidRPr="00943188">
        <w:rPr>
          <w:rFonts w:ascii="Times New Roman" w:hAnsi="Times New Roman" w:cs="Times New Roman"/>
          <w:sz w:val="28"/>
          <w:szCs w:val="28"/>
        </w:rPr>
        <w:t>программы» изложены в новой редакции.</w:t>
      </w:r>
    </w:p>
    <w:p w:rsidR="00266577" w:rsidRPr="00943188" w:rsidRDefault="00CD7969" w:rsidP="0026657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266577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 3</w:t>
      </w:r>
      <w:r w:rsidR="00494279">
        <w:rPr>
          <w:rFonts w:ascii="Times New Roman" w:hAnsi="Times New Roman" w:cs="Times New Roman"/>
          <w:sz w:val="28"/>
          <w:szCs w:val="28"/>
        </w:rPr>
        <w:t>.1.1. «Паспорт подпрограммы 1» подраздел</w:t>
      </w:r>
      <w:r w:rsidR="00266577">
        <w:rPr>
          <w:rFonts w:ascii="Times New Roman" w:hAnsi="Times New Roman" w:cs="Times New Roman"/>
          <w:sz w:val="28"/>
          <w:szCs w:val="28"/>
        </w:rPr>
        <w:t xml:space="preserve"> «Объемы финансирования подпрограммы» изложен в новой редакции.</w:t>
      </w:r>
    </w:p>
    <w:p w:rsidR="00266577" w:rsidRDefault="00266577" w:rsidP="00266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sz w:val="28"/>
          <w:szCs w:val="28"/>
        </w:rPr>
        <w:t>Общий объем бюджетных ассигнова</w:t>
      </w:r>
      <w:r w:rsidR="00494279">
        <w:rPr>
          <w:rFonts w:ascii="Times New Roman" w:hAnsi="Times New Roman" w:cs="Times New Roman"/>
          <w:sz w:val="28"/>
          <w:szCs w:val="28"/>
        </w:rPr>
        <w:t>ний на реализацию подпрограммы 1.</w:t>
      </w:r>
      <w:r w:rsidRPr="00EC6BCB">
        <w:rPr>
          <w:rFonts w:ascii="Times New Roman" w:hAnsi="Times New Roman" w:cs="Times New Roman"/>
          <w:sz w:val="28"/>
          <w:szCs w:val="28"/>
        </w:rPr>
        <w:t xml:space="preserve"> </w:t>
      </w:r>
      <w:r w:rsidR="00494279" w:rsidRPr="005946BC">
        <w:rPr>
          <w:rFonts w:ascii="Times New Roman" w:hAnsi="Times New Roman" w:cs="Times New Roman"/>
          <w:sz w:val="28"/>
          <w:szCs w:val="28"/>
        </w:rPr>
        <w:t>«</w:t>
      </w:r>
      <w:r w:rsidR="00494279">
        <w:rPr>
          <w:rFonts w:ascii="Times New Roman" w:hAnsi="Times New Roman" w:cs="Times New Roman"/>
          <w:sz w:val="28"/>
          <w:szCs w:val="28"/>
        </w:rPr>
        <w:t>Организация и совершенствование бюджетного процесса в городском округе город Кулебаки</w:t>
      </w:r>
      <w:r w:rsidR="00494279" w:rsidRPr="005946BC">
        <w:rPr>
          <w:rFonts w:ascii="Times New Roman" w:hAnsi="Times New Roman" w:cs="Times New Roman"/>
          <w:sz w:val="28"/>
          <w:szCs w:val="28"/>
        </w:rPr>
        <w:t>»</w:t>
      </w:r>
      <w:r w:rsidRPr="00EC6BCB">
        <w:rPr>
          <w:rFonts w:ascii="Times New Roman" w:hAnsi="Times New Roman" w:cs="Times New Roman"/>
          <w:sz w:val="28"/>
          <w:szCs w:val="28"/>
        </w:rPr>
        <w:t xml:space="preserve"> в 2018 году (по</w:t>
      </w:r>
      <w:r w:rsidR="00494279">
        <w:rPr>
          <w:rFonts w:ascii="Times New Roman" w:hAnsi="Times New Roman" w:cs="Times New Roman"/>
          <w:sz w:val="28"/>
          <w:szCs w:val="28"/>
        </w:rPr>
        <w:t xml:space="preserve"> сравнению с редакцией от 18.10.2018)  уменьшен</w:t>
      </w:r>
      <w:r w:rsidRPr="00EC6BCB">
        <w:rPr>
          <w:rFonts w:ascii="Times New Roman" w:hAnsi="Times New Roman" w:cs="Times New Roman"/>
          <w:sz w:val="28"/>
          <w:szCs w:val="28"/>
        </w:rPr>
        <w:t xml:space="preserve"> </w:t>
      </w:r>
      <w:r w:rsidR="00494279">
        <w:rPr>
          <w:rFonts w:ascii="Times New Roman" w:hAnsi="Times New Roman" w:cs="Times New Roman"/>
          <w:sz w:val="28"/>
          <w:szCs w:val="28"/>
        </w:rPr>
        <w:t>на 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EC6BCB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рублей</w:t>
      </w:r>
      <w:r w:rsidR="00494279">
        <w:rPr>
          <w:rFonts w:ascii="Times New Roman" w:hAnsi="Times New Roman" w:cs="Times New Roman"/>
          <w:sz w:val="28"/>
          <w:szCs w:val="28"/>
        </w:rPr>
        <w:t xml:space="preserve"> и составил в сумме 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6537" w:rsidRPr="00943188" w:rsidRDefault="00D16537" w:rsidP="00D1653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3.2.1. «Паспорт подпрограммы 2» подраздел «Объемы финансирования подпрограммы» изложен в новой редакции.</w:t>
      </w:r>
    </w:p>
    <w:p w:rsidR="00CD7969" w:rsidRDefault="00CD7969" w:rsidP="00CD79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подпрограммы 2</w:t>
      </w:r>
      <w:r w:rsidR="00D16537">
        <w:rPr>
          <w:rFonts w:ascii="Times New Roman" w:hAnsi="Times New Roman" w:cs="Times New Roman"/>
          <w:sz w:val="28"/>
          <w:szCs w:val="28"/>
        </w:rPr>
        <w:t>.</w:t>
      </w:r>
      <w:r w:rsidRPr="00EC6BCB">
        <w:rPr>
          <w:rFonts w:ascii="Times New Roman" w:hAnsi="Times New Roman" w:cs="Times New Roman"/>
          <w:sz w:val="28"/>
          <w:szCs w:val="28"/>
        </w:rPr>
        <w:t xml:space="preserve"> «Повышение эффективности бюджетных расходов городского округа город </w:t>
      </w:r>
      <w:r w:rsidRPr="00EC6BCB">
        <w:rPr>
          <w:rFonts w:ascii="Times New Roman" w:hAnsi="Times New Roman" w:cs="Times New Roman"/>
          <w:sz w:val="28"/>
          <w:szCs w:val="28"/>
        </w:rPr>
        <w:lastRenderedPageBreak/>
        <w:t>Кулебаки» в 2018 году (по</w:t>
      </w:r>
      <w:r w:rsidR="00D16537">
        <w:rPr>
          <w:rFonts w:ascii="Times New Roman" w:hAnsi="Times New Roman" w:cs="Times New Roman"/>
          <w:sz w:val="28"/>
          <w:szCs w:val="28"/>
        </w:rPr>
        <w:t xml:space="preserve"> сравнению с редакцией от 18.10</w:t>
      </w:r>
      <w:r w:rsidRPr="00EC6BCB">
        <w:rPr>
          <w:rFonts w:ascii="Times New Roman" w:hAnsi="Times New Roman" w:cs="Times New Roman"/>
          <w:sz w:val="28"/>
          <w:szCs w:val="28"/>
        </w:rPr>
        <w:t xml:space="preserve">.2018)  увеличен </w:t>
      </w:r>
      <w:r w:rsidR="00D16537">
        <w:rPr>
          <w:rFonts w:ascii="Times New Roman" w:hAnsi="Times New Roman" w:cs="Times New Roman"/>
          <w:sz w:val="28"/>
          <w:szCs w:val="28"/>
        </w:rPr>
        <w:t>на 597,0</w:t>
      </w:r>
      <w:r w:rsidRPr="00EC6BCB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рублей</w:t>
      </w:r>
      <w:r w:rsidRPr="00EC6BCB">
        <w:rPr>
          <w:rFonts w:ascii="Times New Roman" w:hAnsi="Times New Roman" w:cs="Times New Roman"/>
          <w:sz w:val="28"/>
          <w:szCs w:val="28"/>
        </w:rPr>
        <w:t xml:space="preserve"> и составил в сумме 3</w:t>
      </w:r>
      <w:r w:rsidR="00D16537">
        <w:rPr>
          <w:rFonts w:ascii="Times New Roman" w:hAnsi="Times New Roman" w:cs="Times New Roman"/>
          <w:sz w:val="28"/>
          <w:szCs w:val="28"/>
        </w:rPr>
        <w:t> 985,8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6537" w:rsidRPr="00943188" w:rsidRDefault="00D16537" w:rsidP="00D1653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3.3.1. «Паспорт подпрограммы 3» подраздел «Объемы финансирования подпрограммы» изложен в новой редакции.</w:t>
      </w:r>
    </w:p>
    <w:p w:rsidR="00D16537" w:rsidRDefault="00D16537" w:rsidP="00D16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sz w:val="28"/>
          <w:szCs w:val="28"/>
        </w:rPr>
        <w:t>Общий объем бюджетных ассигнова</w:t>
      </w:r>
      <w:r>
        <w:rPr>
          <w:rFonts w:ascii="Times New Roman" w:hAnsi="Times New Roman" w:cs="Times New Roman"/>
          <w:sz w:val="28"/>
          <w:szCs w:val="28"/>
        </w:rPr>
        <w:t>ний на реализацию подпрограммы 3.</w:t>
      </w:r>
      <w:r w:rsidRPr="00EC6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</w:t>
      </w:r>
      <w:r w:rsidRPr="00EC6BCB">
        <w:rPr>
          <w:rFonts w:ascii="Times New Roman" w:hAnsi="Times New Roman" w:cs="Times New Roman"/>
          <w:sz w:val="28"/>
          <w:szCs w:val="28"/>
        </w:rPr>
        <w:t xml:space="preserve"> в 2018 году (по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редакцией от 18.10.2018)  уменьшен</w:t>
      </w:r>
      <w:r w:rsidRPr="00EC6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597,0</w:t>
      </w:r>
      <w:r w:rsidRPr="00EC6BCB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рублей</w:t>
      </w:r>
      <w:r w:rsidRPr="00EC6BCB">
        <w:rPr>
          <w:rFonts w:ascii="Times New Roman" w:hAnsi="Times New Roman" w:cs="Times New Roman"/>
          <w:sz w:val="28"/>
          <w:szCs w:val="28"/>
        </w:rPr>
        <w:t xml:space="preserve"> и составил в сумме </w:t>
      </w:r>
      <w:r>
        <w:rPr>
          <w:rFonts w:ascii="Times New Roman" w:hAnsi="Times New Roman" w:cs="Times New Roman"/>
          <w:sz w:val="28"/>
          <w:szCs w:val="28"/>
        </w:rPr>
        <w:t>10 209,9</w:t>
      </w:r>
      <w:r w:rsidRPr="004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76D7" w:rsidRPr="003D03C3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6BCB">
        <w:rPr>
          <w:rFonts w:ascii="Times New Roman" w:hAnsi="Times New Roman" w:cs="Times New Roman"/>
          <w:sz w:val="28"/>
          <w:szCs w:val="28"/>
        </w:rPr>
        <w:t>Изменения индикаторов достижения цели программы и показателей непосредственных резуль</w:t>
      </w:r>
      <w:r w:rsidR="007A408C" w:rsidRPr="00EC6BCB">
        <w:rPr>
          <w:rFonts w:ascii="Times New Roman" w:hAnsi="Times New Roman" w:cs="Times New Roman"/>
          <w:sz w:val="28"/>
          <w:szCs w:val="28"/>
        </w:rPr>
        <w:t>татов действия программы на 2018</w:t>
      </w:r>
      <w:r w:rsidRPr="00EC6BCB">
        <w:rPr>
          <w:rFonts w:ascii="Times New Roman" w:hAnsi="Times New Roman" w:cs="Times New Roman"/>
          <w:sz w:val="28"/>
          <w:szCs w:val="28"/>
        </w:rPr>
        <w:t xml:space="preserve"> год не вносились.</w:t>
      </w:r>
    </w:p>
    <w:p w:rsidR="00FE6674" w:rsidRPr="00106308" w:rsidRDefault="00FE6674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106308" w:rsidRDefault="00F24F6D" w:rsidP="00B62CCD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106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Заключительные положения</w:t>
      </w:r>
    </w:p>
    <w:p w:rsidR="00FE6674" w:rsidRPr="00DD1365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</w:t>
      </w:r>
      <w:r w:rsidR="00105759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DD1365">
        <w:rPr>
          <w:rFonts w:ascii="Times New Roman" w:hAnsi="Times New Roman" w:cs="Times New Roman"/>
          <w:sz w:val="28"/>
          <w:szCs w:val="28"/>
        </w:rPr>
        <w:t>сч</w:t>
      </w:r>
      <w:r w:rsidR="00E14889">
        <w:rPr>
          <w:rFonts w:ascii="Times New Roman" w:hAnsi="Times New Roman" w:cs="Times New Roman"/>
          <w:sz w:val="28"/>
          <w:szCs w:val="28"/>
        </w:rPr>
        <w:t>итает, что представленный</w:t>
      </w:r>
      <w:r w:rsidRPr="00DD1365">
        <w:rPr>
          <w:rFonts w:ascii="Times New Roman" w:hAnsi="Times New Roman" w:cs="Times New Roman"/>
          <w:sz w:val="28"/>
          <w:szCs w:val="28"/>
        </w:rPr>
        <w:t xml:space="preserve">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</w:t>
      </w:r>
      <w:r w:rsidR="00E14889">
        <w:rPr>
          <w:rFonts w:ascii="Times New Roman" w:hAnsi="Times New Roman" w:cs="Times New Roman"/>
          <w:sz w:val="28"/>
          <w:szCs w:val="28"/>
        </w:rPr>
        <w:t>.</w:t>
      </w:r>
      <w:r w:rsidRPr="00DD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E6674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>Председатель</w:t>
      </w:r>
      <w:r w:rsidR="00F24F6D" w:rsidRPr="00DD136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F24F6D" w:rsidRPr="00F24F6D" w:rsidRDefault="00F24F6D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 xml:space="preserve">городского округа город  Кулебаки                           </w:t>
      </w:r>
      <w:r w:rsidR="00FE6674" w:rsidRPr="00DD1365">
        <w:rPr>
          <w:rFonts w:ascii="Times New Roman" w:hAnsi="Times New Roman" w:cs="Times New Roman"/>
          <w:sz w:val="28"/>
          <w:szCs w:val="28"/>
        </w:rPr>
        <w:t xml:space="preserve">                          Т.Е.Кудрявцева</w:t>
      </w:r>
    </w:p>
    <w:p w:rsidR="006279EA" w:rsidRPr="00F24F6D" w:rsidRDefault="006279EA">
      <w:pPr>
        <w:rPr>
          <w:rFonts w:ascii="Times New Roman" w:hAnsi="Times New Roman" w:cs="Times New Roman"/>
        </w:rPr>
      </w:pPr>
    </w:p>
    <w:sectPr w:rsidR="006279EA" w:rsidRPr="00F24F6D" w:rsidSect="00284B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77" w:rsidRDefault="00447477" w:rsidP="00F24F6D">
      <w:pPr>
        <w:spacing w:after="0" w:line="240" w:lineRule="auto"/>
      </w:pPr>
      <w:r>
        <w:separator/>
      </w:r>
    </w:p>
  </w:endnote>
  <w:endnote w:type="continuationSeparator" w:id="0">
    <w:p w:rsidR="00447477" w:rsidRDefault="00447477" w:rsidP="00F2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77" w:rsidRDefault="00447477" w:rsidP="00F24F6D">
      <w:pPr>
        <w:spacing w:after="0" w:line="240" w:lineRule="auto"/>
      </w:pPr>
      <w:r>
        <w:separator/>
      </w:r>
    </w:p>
  </w:footnote>
  <w:footnote w:type="continuationSeparator" w:id="0">
    <w:p w:rsidR="00447477" w:rsidRDefault="00447477" w:rsidP="00F2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A0A"/>
    <w:multiLevelType w:val="hybridMultilevel"/>
    <w:tmpl w:val="8224142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7FE1D37"/>
    <w:multiLevelType w:val="hybridMultilevel"/>
    <w:tmpl w:val="7312188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3DC4086"/>
    <w:multiLevelType w:val="hybridMultilevel"/>
    <w:tmpl w:val="2EA85A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F478EF"/>
    <w:multiLevelType w:val="hybridMultilevel"/>
    <w:tmpl w:val="FA66DB58"/>
    <w:lvl w:ilvl="0" w:tplc="0419000D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312"/>
    <w:multiLevelType w:val="hybridMultilevel"/>
    <w:tmpl w:val="E4E4AD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7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B87"/>
    <w:rsid w:val="0000723A"/>
    <w:rsid w:val="00020D44"/>
    <w:rsid w:val="00023D8A"/>
    <w:rsid w:val="00055521"/>
    <w:rsid w:val="00075353"/>
    <w:rsid w:val="00080274"/>
    <w:rsid w:val="0008188E"/>
    <w:rsid w:val="000B014D"/>
    <w:rsid w:val="000B235A"/>
    <w:rsid w:val="000C4BDF"/>
    <w:rsid w:val="000F2476"/>
    <w:rsid w:val="000F3AC0"/>
    <w:rsid w:val="00105759"/>
    <w:rsid w:val="00106308"/>
    <w:rsid w:val="00107BC1"/>
    <w:rsid w:val="0012131B"/>
    <w:rsid w:val="00123F9D"/>
    <w:rsid w:val="00132A81"/>
    <w:rsid w:val="001509BE"/>
    <w:rsid w:val="00170CED"/>
    <w:rsid w:val="00186E9E"/>
    <w:rsid w:val="001A02F6"/>
    <w:rsid w:val="001C71B9"/>
    <w:rsid w:val="001D54F8"/>
    <w:rsid w:val="001F1CB9"/>
    <w:rsid w:val="001F2E80"/>
    <w:rsid w:val="00226BCF"/>
    <w:rsid w:val="00244022"/>
    <w:rsid w:val="00266577"/>
    <w:rsid w:val="00266F87"/>
    <w:rsid w:val="00284B87"/>
    <w:rsid w:val="002A60C2"/>
    <w:rsid w:val="002B066A"/>
    <w:rsid w:val="002D6824"/>
    <w:rsid w:val="003133E9"/>
    <w:rsid w:val="00325DA2"/>
    <w:rsid w:val="00337E89"/>
    <w:rsid w:val="003635CA"/>
    <w:rsid w:val="00364039"/>
    <w:rsid w:val="0037419B"/>
    <w:rsid w:val="003908E3"/>
    <w:rsid w:val="003C58CF"/>
    <w:rsid w:val="003D03C3"/>
    <w:rsid w:val="003E5444"/>
    <w:rsid w:val="00423C72"/>
    <w:rsid w:val="00430290"/>
    <w:rsid w:val="00447477"/>
    <w:rsid w:val="00464DF9"/>
    <w:rsid w:val="00475A17"/>
    <w:rsid w:val="00486B36"/>
    <w:rsid w:val="004940B3"/>
    <w:rsid w:val="00494279"/>
    <w:rsid w:val="004A5C82"/>
    <w:rsid w:val="004D3D00"/>
    <w:rsid w:val="004D65E7"/>
    <w:rsid w:val="004D6F69"/>
    <w:rsid w:val="004E3495"/>
    <w:rsid w:val="004E4085"/>
    <w:rsid w:val="005145D5"/>
    <w:rsid w:val="00572C8A"/>
    <w:rsid w:val="005946BC"/>
    <w:rsid w:val="005B5DE2"/>
    <w:rsid w:val="005D3148"/>
    <w:rsid w:val="005E6AE0"/>
    <w:rsid w:val="00603C71"/>
    <w:rsid w:val="00603EDE"/>
    <w:rsid w:val="006279EA"/>
    <w:rsid w:val="00661A43"/>
    <w:rsid w:val="006671A6"/>
    <w:rsid w:val="006B3D8D"/>
    <w:rsid w:val="006D084B"/>
    <w:rsid w:val="007A408C"/>
    <w:rsid w:val="007A6C35"/>
    <w:rsid w:val="007C273A"/>
    <w:rsid w:val="007D03F5"/>
    <w:rsid w:val="007D1469"/>
    <w:rsid w:val="007E4198"/>
    <w:rsid w:val="0080007F"/>
    <w:rsid w:val="00840E8C"/>
    <w:rsid w:val="008D2F59"/>
    <w:rsid w:val="00916BE8"/>
    <w:rsid w:val="00924E8E"/>
    <w:rsid w:val="00943188"/>
    <w:rsid w:val="00957004"/>
    <w:rsid w:val="00980169"/>
    <w:rsid w:val="009B5ACE"/>
    <w:rsid w:val="009C6F2D"/>
    <w:rsid w:val="009F7E8C"/>
    <w:rsid w:val="00A038FB"/>
    <w:rsid w:val="00A176D7"/>
    <w:rsid w:val="00A204A6"/>
    <w:rsid w:val="00A25251"/>
    <w:rsid w:val="00A357EB"/>
    <w:rsid w:val="00A5641A"/>
    <w:rsid w:val="00A87F98"/>
    <w:rsid w:val="00AA4B22"/>
    <w:rsid w:val="00AB08D9"/>
    <w:rsid w:val="00AC418B"/>
    <w:rsid w:val="00B112B4"/>
    <w:rsid w:val="00B3484F"/>
    <w:rsid w:val="00B54485"/>
    <w:rsid w:val="00B62CCD"/>
    <w:rsid w:val="00B70D4A"/>
    <w:rsid w:val="00B85A10"/>
    <w:rsid w:val="00B96ED1"/>
    <w:rsid w:val="00BA57B8"/>
    <w:rsid w:val="00BC316B"/>
    <w:rsid w:val="00BC5A48"/>
    <w:rsid w:val="00C50399"/>
    <w:rsid w:val="00C66022"/>
    <w:rsid w:val="00C745CE"/>
    <w:rsid w:val="00C818D9"/>
    <w:rsid w:val="00C84116"/>
    <w:rsid w:val="00CA64D9"/>
    <w:rsid w:val="00CC1E07"/>
    <w:rsid w:val="00CD78BF"/>
    <w:rsid w:val="00CD7969"/>
    <w:rsid w:val="00D0631C"/>
    <w:rsid w:val="00D12B03"/>
    <w:rsid w:val="00D16537"/>
    <w:rsid w:val="00D25FC9"/>
    <w:rsid w:val="00DA4B81"/>
    <w:rsid w:val="00DA58FC"/>
    <w:rsid w:val="00DA7139"/>
    <w:rsid w:val="00DD1365"/>
    <w:rsid w:val="00DE3EF6"/>
    <w:rsid w:val="00DE6D82"/>
    <w:rsid w:val="00DF2036"/>
    <w:rsid w:val="00E14889"/>
    <w:rsid w:val="00E15F2D"/>
    <w:rsid w:val="00E16865"/>
    <w:rsid w:val="00E46EB2"/>
    <w:rsid w:val="00E66D40"/>
    <w:rsid w:val="00EA066D"/>
    <w:rsid w:val="00EC6BCB"/>
    <w:rsid w:val="00F03EFE"/>
    <w:rsid w:val="00F22135"/>
    <w:rsid w:val="00F24F6D"/>
    <w:rsid w:val="00F6353F"/>
    <w:rsid w:val="00F84749"/>
    <w:rsid w:val="00F87388"/>
    <w:rsid w:val="00F95BEA"/>
    <w:rsid w:val="00FB0D73"/>
    <w:rsid w:val="00FE6674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7"/>
    <w:pPr>
      <w:spacing w:after="160" w:line="259" w:lineRule="auto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284B8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4B8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284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B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84B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F6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274"/>
    <w:pPr>
      <w:ind w:left="720"/>
      <w:contextualSpacing/>
    </w:pPr>
  </w:style>
  <w:style w:type="paragraph" w:customStyle="1" w:styleId="1">
    <w:name w:val="Без интервала1"/>
    <w:link w:val="NoSpacingChar"/>
    <w:uiPriority w:val="99"/>
    <w:qFormat/>
    <w:rsid w:val="00A176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A176D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6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F6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F6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2018-12-18T08:30:00Z</cp:lastPrinted>
  <dcterms:created xsi:type="dcterms:W3CDTF">2017-11-24T07:42:00Z</dcterms:created>
  <dcterms:modified xsi:type="dcterms:W3CDTF">2018-12-18T08:32:00Z</dcterms:modified>
</cp:coreProperties>
</file>