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F30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 5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F302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F302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AF30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F30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Совета депутатов городского округа город 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F30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Кулебаки от 28.08.2020 № 45)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AF3024" w:rsidRPr="00AF3024" w:rsidRDefault="00AF3024" w:rsidP="00AF30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AF3024" w:rsidRPr="00AF3024" w:rsidRDefault="00AF3024" w:rsidP="00AF3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F30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Распределение бюджетных ассигнований </w:t>
      </w:r>
    </w:p>
    <w:p w:rsidR="00AF3024" w:rsidRPr="00AF3024" w:rsidRDefault="00AF3024" w:rsidP="00AF3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F30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город Кулебаки Нижегородской области  на 2020 год и на плановый период 2021 и 2022 годов</w:t>
      </w:r>
    </w:p>
    <w:p w:rsidR="00AF3024" w:rsidRPr="00AF3024" w:rsidRDefault="00AF3024" w:rsidP="00AF302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AF3024" w:rsidRPr="00AF3024" w:rsidRDefault="00AF3024" w:rsidP="00AF3024">
      <w:pPr>
        <w:autoSpaceDE w:val="0"/>
        <w:autoSpaceDN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024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5"/>
        <w:gridCol w:w="1276"/>
        <w:gridCol w:w="1418"/>
        <w:gridCol w:w="1417"/>
      </w:tblGrid>
      <w:tr w:rsidR="00AF3024" w:rsidRPr="00AF3024" w:rsidTr="000D3A9D">
        <w:trPr>
          <w:trHeight w:val="615"/>
        </w:trPr>
        <w:tc>
          <w:tcPr>
            <w:tcW w:w="3261" w:type="dxa"/>
            <w:vMerge w:val="restart"/>
            <w:shd w:val="clear" w:color="000000" w:fill="FFFFFF"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2022 год</w:t>
            </w:r>
          </w:p>
        </w:tc>
      </w:tr>
      <w:tr w:rsidR="00AF3024" w:rsidRPr="00AF3024" w:rsidTr="000D3A9D">
        <w:trPr>
          <w:trHeight w:val="885"/>
        </w:trPr>
        <w:tc>
          <w:tcPr>
            <w:tcW w:w="3261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5" w:type="dxa"/>
            <w:vMerge w:val="restart"/>
            <w:shd w:val="clear" w:color="000000" w:fill="FFFFFF"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F30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F3024" w:rsidRPr="00AF3024" w:rsidTr="000D3A9D">
        <w:trPr>
          <w:trHeight w:val="285"/>
        </w:trPr>
        <w:tc>
          <w:tcPr>
            <w:tcW w:w="3261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1 393 369,0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1 496 114,7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1 625 367,2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826 523,0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812 739,0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823 873,6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824 823,0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630 260,4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636 232,8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622 993,0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630 260,4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636 232,8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89 953,7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96 952,9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100 831,3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89 953,7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96 952,9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100 831,3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53 305,7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55 631,5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57 892,9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857,7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896,7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1 107,5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1 152,8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1 188,5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51 274,9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53 510,7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55 697,4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110,3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218,4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227,1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62,1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123,4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</w:tr>
      <w:tr w:rsidR="00AF3024" w:rsidRPr="00AF3024" w:rsidTr="000D3A9D">
        <w:trPr>
          <w:trHeight w:val="210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01101L3040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01101L3040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6 558,3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5 278,3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5 102,2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81,8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79,0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6 456,7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5 196,6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5 023,1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011E100000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3 153,7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3 153,7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3 153,7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76 063,4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84 240,6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88 921,5</w:t>
            </w:r>
          </w:p>
        </w:tc>
      </w:tr>
      <w:tr w:rsidR="00AF3024" w:rsidRPr="00AF3024" w:rsidTr="000D3A9D">
        <w:trPr>
          <w:trHeight w:val="210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76 063,4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84 240,6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88 921,5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14 065,9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14 065,9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0120103591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47 678,0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67 246,6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71 827,9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0120103591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47 678,0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67 246,6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71 827,9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2 556,9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2 634,3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2 756,1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2 556,9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2 634,3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2 756,1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2 881,8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6 795,7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6 845,7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61,3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2 940,4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2 940,4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1 043,4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2 127,4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2 127,4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794,9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959,6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959,6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7 422,2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6 105,5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6 033,4</w:t>
            </w:r>
          </w:p>
        </w:tc>
      </w:tr>
      <w:tr w:rsidR="00AF3024" w:rsidRPr="00AF3024" w:rsidTr="000D3A9D">
        <w:trPr>
          <w:trHeight w:val="568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7 422,2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6 105,5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6 033,4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60,2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124 233,9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98 156,0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98 634,1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113 278,9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83 987,5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98 634,1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6 192,6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6 205,6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6 219,0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332,3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345,7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57 229,3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59 348,6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60 634,7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2 087,7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2 122,4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1 152,5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1 188,3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1 225,6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54 024,6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56 030,4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57 244,5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2 400,0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2 400,0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20 439,6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6 066,9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6 803,0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497,3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154,8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19 942,3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5 916,9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6 648,2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детского сада в р.п.Велетьма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1 568,7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1 568,7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здания МБОУ Ломовская школа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1 510,1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10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1 142,4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1 196,9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1 255,8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387,6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406,8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781,4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809,3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849,1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6 800,6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5 322,5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5 002,7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01401S2090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253,8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198,6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186,7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6 546,9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5 123,8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4 816,0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12 827,2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12 827,2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01401S2510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01401S2510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15 000,0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2 128,0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1 849,5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014P200000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10 954,9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014P25232A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10 954,9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014P25232A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10 954,9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156 370,5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168 011,0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175 312,4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1 592,4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4 297,3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843,2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1 079,3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2 847,3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2 270,0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2 270,0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МБУ "ЦБ УКиС"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537,3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537,3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553,2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537,3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537,3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553,2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513,1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МБУК "ЦБС"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363,1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363,1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МБУ "ЦБ УКиС"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154 778,1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163 693,7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174 449,2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1 944,2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923,7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933,3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387,2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386,8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1 397,2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387,2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386,8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347,0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326,5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326,5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0230129030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230,5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152 833,9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162 770,0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173 515,9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24 152,9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25 703,6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27 512,1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24 152,9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25 703,6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27 512,1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59 220,8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65 797,8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71 095,0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59 220,8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65 797,8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71 095,0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48 869,3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53 440,8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57 268,1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48 869,3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53 440,8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57 268,1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5 453,0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5 674,7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5 901,4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0230205590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5 453,0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5 674,7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5 901,4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15 117,9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12 153,1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11 739,3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15 117,9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12 153,1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11 739,3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65 002,2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65 525,2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68 818,5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66 122,2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65 335,2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68 628,5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62 002,2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64 395,2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67 648,5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35 210,0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49 339,9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51 780,8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35 210,0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49 339,9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51 780,8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оказание муниципальных услуг по реализации дополнительных общеобразовательных программ на основе сертификатов </w:t>
            </w: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персонифицированного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0310101591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7 067,0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10 111,9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10 643,4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0310101591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7 067,0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10 111,9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10 643,4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комплекса ВФСК ГТО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Устройство всесезонных спортивных кортов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Обустройство городского стадиона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660,5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Строительство межшкольного стадиона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855,3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855,3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проведения независимой оценки качества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03101L5760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1 091,2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03101L5760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1 091,2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16 135,6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3 062,9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2 959,0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16 135,6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3 062,9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2 959,0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03101S2340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628,4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03101S2340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628,4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158,0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Оплата стартового взноса за участие в первенстве НО по футболу среди детско-юношеских команд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031E200000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36 064,9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29 973,7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34 542,8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662,4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1 539,9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1 486,3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1 484,8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1 539,9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1 486,3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1 484,8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0520124010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447,6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474,9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0520124010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447,6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474,9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1 092,3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1 011,4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1 009,9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1 092,3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1 011,4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1 009,9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"Социальная (льготная) ипотека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05301S2270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05301S2270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104,8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AF3024" w:rsidRPr="00AF3024" w:rsidTr="000D3A9D">
        <w:trPr>
          <w:trHeight w:val="168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6,8</w:t>
            </w:r>
          </w:p>
        </w:tc>
      </w:tr>
      <w:tr w:rsidR="00AF3024" w:rsidRPr="00AF3024" w:rsidTr="000D3A9D">
        <w:trPr>
          <w:trHeight w:val="168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11 167,9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11 167,9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7 107,2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7 107,2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8 587,9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14 273,7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4 060,6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4 060,6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22 395,8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19 618,8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18 585,8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22 295,8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19 498,8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18 465,8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515,9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424,8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515,9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424,8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1 790,3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1 790,3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0570151760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1 790,3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0570151760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1 790,3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502,6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2 475,1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3 506,7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4 538,4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2 475,1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3 506,7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4 538,4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2 969,6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2 969,6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0570210010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0570210010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31 682,2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191 305,1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303 222,1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31 682,2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191 305,1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303 222,1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1 088,6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1 096,6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лабораторного исследования качества воды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Очистка, обустройство родников и прилегающих к ним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систематического обследования ГТС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388,9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388,9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дератизационных мероприятий на кладбищах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0610129017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0610129017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0610129018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0610129018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0610129019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0610129019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14 042,9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43 336,8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580,0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Рекультивация полигона ТБО г. Кулебаки и полигона р.п. Гремячево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4 016,7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4 016,7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0610229016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0610229016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0610229017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0610229017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0610229018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0610229018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0610229021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0610229021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0610274700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370,4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0610274700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370,4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06102S2290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06102S2290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06102S2670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7 454,6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06102S2670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7 454,6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</w:rPr>
              <w:t>Охрана и развитие системы озелененных территории городского округа город Кулебаки</w:t>
            </w: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, охрана лесных массивов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1 465,2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сохранности зеленого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1 190,2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1 090,2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Борьба с борщевиком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0610329014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 xml:space="preserve">Формирование экологической культуры населения городского </w:t>
            </w: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0610400000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Организация и проведение мероприятий экологической направленности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0610429013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0610429013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"Оздоровление Волги"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15 045,5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301 130,5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061G65013A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301 130,5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061G65013A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301 130,5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15 045,5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15 045,5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8 120,7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5 403,3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5 449,3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5 774,9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2 488,6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2 546,1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3 341,8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3 341,8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3 341,8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421,5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432,6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444,1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0710302590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421,5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432,6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444,1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07103S2050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1 685,8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1 730,2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1 776,2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07103S2050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1 685,8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1 730,2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1 776,2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2 763,7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2 752,2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2 763,7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2 752,2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1 520,9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2 089,8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1 520,9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2 089,8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2 078,3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7 345,1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8 072,1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8 384,8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7 345,1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8 072,1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8 384,8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389,0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119,0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6 137,1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6 419,6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6 666,8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929,6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929,6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156,0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156,0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1 699,5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2 443,6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2 541,8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1 699,5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2 443,6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2 541,8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1 217,0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1 266,0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1 217,0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1 266,0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954,0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1 031,0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1 031,0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1 177,0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325,0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Оптимизация муниципального сектора экономики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1 297,0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1 297,0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1 248,0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1 297,0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0810400000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750,1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750,1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467,3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468,1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172,6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173,0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172,6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173,0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127,7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127,7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09101R5020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09101R5020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46,3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09101R5080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09101R5080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137,8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282,0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0910273280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0910273280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09102R5020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09102R5020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33 342,1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27 616,4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4 591,1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2 100,0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2 240,0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2 240,0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101С200000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1 491,1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101С2S2720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1 491,1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101С2S2720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1 491,1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7 906,7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5 754,3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7 769,7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5 754,3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215,6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1020129020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215,6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Строительство и ремонт тротуаров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3 828,1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2 275,0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3 828,1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2 490,0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2 275,0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109,4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109,4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пешеходных коммуникаций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687,5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869,3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687,5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869,3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10201L5760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10201L5760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10201S2340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10201S2340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136,6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25 175,9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22 962,1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17 492,1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25 175,9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22 962,1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17 492,1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16 069,9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17 600,0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17 192,1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16 069,9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17 600,0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17 192,1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1 024,4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5 362,1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1 024,4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5 362,1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1030190621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1030190621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10301S2210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8 072,0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10301S2210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8 072,0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11 803,0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11 811,3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11 819,9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10 540,4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10 796,3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10 839,4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10 333,5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10 581,1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10 615,6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223,8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1 262,6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980,5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1 262,6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980,5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2 618,2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2 720,9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2 618,2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2 720,9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2 618,2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2 720,9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2 448,0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2 773,8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5 243,8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2 448,0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2 773,8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5 243,8</w:t>
            </w:r>
          </w:p>
        </w:tc>
      </w:tr>
      <w:tr w:rsidR="00AF3024" w:rsidRPr="00AF3024" w:rsidTr="000D3A9D">
        <w:trPr>
          <w:trHeight w:val="210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2 444,0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2 768,8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5 238,8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2 310,0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2 633,8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5 084,8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724,8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724,8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1 545,0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1 809,0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4 360,0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9,0</w:t>
            </w:r>
          </w:p>
        </w:tc>
      </w:tr>
      <w:tr w:rsidR="00AF3024" w:rsidRPr="00AF3024" w:rsidTr="000D3A9D">
        <w:trPr>
          <w:trHeight w:val="168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1210400000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3 721,0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784,2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3 721,0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784,2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737,2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87,2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1310229020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2 766,0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2 099,9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2 099,9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449,2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5 135,0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6 092,0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3 423,0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2 989,0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2 989,0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2 891,0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643,8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2 247,2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Противопожарные мероприятия в неблагополучных семьях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безопасности на водных объектах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1510329040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1510329040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2 146,0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5 312,0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2 643,0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936,0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626,0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Строительство бокса для пожарной машины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депо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2 017,0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3 342,0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1 247,0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3 342,0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1 247,0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42 170,8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22 342,0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42 170,8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22 342,0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18 530,0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16 885,0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17 282,0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1 634,3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1 634,3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15 779,6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15 885,0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16 282,0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1610190110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15 779,6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15 885,0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16 282,0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1 116,0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816,0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23 640,9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5 060,0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835,0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835,0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426,6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426,6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1610290700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1 937,0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1 725,0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1 950,0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1610290700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1 937,0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1 725,0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1 950,0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скверов и площадей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279,0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Праздничное оформление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ул.Адмирала Макарова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2 885,0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2 885,0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2 910,0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16102S2190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3 519,9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16102S2190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3 519,9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7 516,4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7 516,4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1 275,0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1 275,0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6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приборами учета бюджетных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323,4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систем отопления в бюджетных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795,0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19 451,8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21 836,4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19 451,8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21 836,4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1 306,9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976,3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5 351,5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1810290300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976,3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5 351,5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1810290300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976,3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5 351,5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181F200000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17 168,6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17 168,6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9 328,1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17 188,3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7 840,5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10 976,0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10 976,0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услуг по холодному водоснабжению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10 811,0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992,0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334,5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334,5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19101S2600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9 484,5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19101S2600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9 484,5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услуг по централизованному водоотведению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канализационных колодцев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1910329040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1910329040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124 690,9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112 808,3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113 674,0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124 690,9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112 808,3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113 674,0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75 945,2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76 240,0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76 726,0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62 541,9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64 326,0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65 019,8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51 151,0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52 659,4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52 877,6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11 354,3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11 641,3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12 116,5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25,7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7770105220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Глава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7 593,7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6 104,4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5 896,6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7 593,7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6 104,4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5 896,6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21 524,1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21 719,3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21 993,1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7 235,1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7 291,3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7 352,7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6 779,8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6 817,8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6 860,2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395,6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413,8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432,8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3 696,8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3 829,5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3 898,4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3 157,5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3 268,5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3 317,8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561,0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580,6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1 047,6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1 057,1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1 068,7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1 047,6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1 057,1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1 068,7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8 808,6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8 949,7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9 101,7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7 570,2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7 285,7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7 371,0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1 238,4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1 664,0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1 730,7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591,7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571,6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736,0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591,7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571,6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6 527,8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4 863,9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4 955,4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1 534,2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1 185,0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168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27,1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120,4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3 204,2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3 104,2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3 104,2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2 812,6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2 804,3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2 804,3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391,7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299,9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299,9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осуществление полномочий по созданию и организации деятельности муниципальных комиссий по делам несовершеннолетних и защите их </w:t>
            </w: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7770373040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473,5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472,0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472,0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435,4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435,4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</w:tr>
      <w:tr w:rsidR="00AF3024" w:rsidRPr="00AF3024" w:rsidTr="000D3A9D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</w:tr>
      <w:tr w:rsidR="00AF3024" w:rsidRPr="00AF3024" w:rsidTr="000D3A9D">
        <w:trPr>
          <w:trHeight w:val="147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</w:tr>
      <w:tr w:rsidR="00AF3024" w:rsidRPr="00AF3024" w:rsidTr="000D3A9D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7770500000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410,3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410,3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402,2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405,2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410,3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19 001,3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9 579,9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9 589,2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3 073,0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2 727,0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16,2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15,6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16,2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599,6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499,3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70,7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216,3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225,0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208,0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216,3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225,0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</w:tr>
      <w:tr w:rsidR="00AF3024" w:rsidRPr="00AF3024" w:rsidTr="000D3A9D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7770690040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777W600000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777W621000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777W621000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394,8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777С100000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895,4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895,4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730,0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AF3024" w:rsidRPr="00AF3024" w:rsidTr="000D3A9D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1275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165,4</w:t>
            </w:r>
          </w:p>
        </w:tc>
        <w:tc>
          <w:tcPr>
            <w:tcW w:w="1418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F3024" w:rsidRPr="00AF3024" w:rsidRDefault="00AF3024" w:rsidP="00AF30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AF3024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</w:tbl>
    <w:p w:rsidR="00E06881" w:rsidRPr="00A73187" w:rsidRDefault="00E06881" w:rsidP="00A73187">
      <w:bookmarkStart w:id="0" w:name="_GoBack"/>
      <w:bookmarkEnd w:id="0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69544E"/>
    <w:rsid w:val="00A73187"/>
    <w:rsid w:val="00AF3024"/>
    <w:rsid w:val="00D12A62"/>
    <w:rsid w:val="00E0688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024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AF30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F30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3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24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30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0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02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024"/>
  </w:style>
  <w:style w:type="paragraph" w:customStyle="1" w:styleId="Eiiey">
    <w:name w:val="Eiiey"/>
    <w:basedOn w:val="a"/>
    <w:rsid w:val="00AF3024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AF302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302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F302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302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AF3024"/>
  </w:style>
  <w:style w:type="paragraph" w:customStyle="1" w:styleId="ConsNormal">
    <w:name w:val="ConsNormal"/>
    <w:uiPriority w:val="99"/>
    <w:rsid w:val="00AF302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302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F3024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F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F3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30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F30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AF3024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F30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F30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F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F3024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F302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F3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F3024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F3024"/>
  </w:style>
  <w:style w:type="character" w:styleId="ae">
    <w:name w:val="Hyperlink"/>
    <w:uiPriority w:val="99"/>
    <w:semiHidden/>
    <w:unhideWhenUsed/>
    <w:rsid w:val="00AF302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F3024"/>
    <w:rPr>
      <w:color w:val="800080"/>
      <w:u w:val="single"/>
    </w:rPr>
  </w:style>
  <w:style w:type="paragraph" w:customStyle="1" w:styleId="font5">
    <w:name w:val="font5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AF302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F30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F30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AF30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AF30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AF302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F302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F3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F3024"/>
  </w:style>
  <w:style w:type="numbering" w:customStyle="1" w:styleId="31">
    <w:name w:val="Нет списка3"/>
    <w:next w:val="a2"/>
    <w:uiPriority w:val="99"/>
    <w:semiHidden/>
    <w:unhideWhenUsed/>
    <w:rsid w:val="00AF3024"/>
  </w:style>
  <w:style w:type="numbering" w:customStyle="1" w:styleId="41">
    <w:name w:val="Нет списка4"/>
    <w:next w:val="a2"/>
    <w:uiPriority w:val="99"/>
    <w:semiHidden/>
    <w:unhideWhenUsed/>
    <w:rsid w:val="00AF3024"/>
  </w:style>
  <w:style w:type="paragraph" w:customStyle="1" w:styleId="xl92">
    <w:name w:val="xl92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F302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AF302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AF3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024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AF30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F30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3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24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30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0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02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024"/>
  </w:style>
  <w:style w:type="paragraph" w:customStyle="1" w:styleId="Eiiey">
    <w:name w:val="Eiiey"/>
    <w:basedOn w:val="a"/>
    <w:rsid w:val="00AF3024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AF302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302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F302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302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AF3024"/>
  </w:style>
  <w:style w:type="paragraph" w:customStyle="1" w:styleId="ConsNormal">
    <w:name w:val="ConsNormal"/>
    <w:uiPriority w:val="99"/>
    <w:rsid w:val="00AF302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302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F3024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F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F3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30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F30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AF3024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F30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F30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F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F3024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F302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F3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F3024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F3024"/>
  </w:style>
  <w:style w:type="character" w:styleId="ae">
    <w:name w:val="Hyperlink"/>
    <w:uiPriority w:val="99"/>
    <w:semiHidden/>
    <w:unhideWhenUsed/>
    <w:rsid w:val="00AF302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F3024"/>
    <w:rPr>
      <w:color w:val="800080"/>
      <w:u w:val="single"/>
    </w:rPr>
  </w:style>
  <w:style w:type="paragraph" w:customStyle="1" w:styleId="font5">
    <w:name w:val="font5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AF302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F30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F30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AF30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F30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AF30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AF30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AF302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F302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F3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F3024"/>
  </w:style>
  <w:style w:type="numbering" w:customStyle="1" w:styleId="31">
    <w:name w:val="Нет списка3"/>
    <w:next w:val="a2"/>
    <w:uiPriority w:val="99"/>
    <w:semiHidden/>
    <w:unhideWhenUsed/>
    <w:rsid w:val="00AF3024"/>
  </w:style>
  <w:style w:type="numbering" w:customStyle="1" w:styleId="41">
    <w:name w:val="Нет списка4"/>
    <w:next w:val="a2"/>
    <w:uiPriority w:val="99"/>
    <w:semiHidden/>
    <w:unhideWhenUsed/>
    <w:rsid w:val="00AF3024"/>
  </w:style>
  <w:style w:type="paragraph" w:customStyle="1" w:styleId="xl92">
    <w:name w:val="xl92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AF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F302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AF302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F30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AF3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AF3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AF3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AF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13087</Words>
  <Characters>74601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2020-09-10T10:59:00Z</dcterms:created>
  <dcterms:modified xsi:type="dcterms:W3CDTF">2020-09-10T10:59:00Z</dcterms:modified>
</cp:coreProperties>
</file>