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FE" w:rsidRDefault="000E6B19" w:rsidP="007D13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0936">
        <w:rPr>
          <w:rFonts w:ascii="Times New Roman" w:hAnsi="Times New Roman" w:cs="Times New Roman"/>
          <w:b/>
          <w:i/>
          <w:sz w:val="28"/>
          <w:szCs w:val="28"/>
        </w:rPr>
        <w:t>Отчет</w:t>
      </w:r>
      <w:r w:rsidR="00F255C6" w:rsidRPr="005609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60936" w:rsidRDefault="00F255C6" w:rsidP="007D13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0936">
        <w:rPr>
          <w:rFonts w:ascii="Times New Roman" w:hAnsi="Times New Roman" w:cs="Times New Roman"/>
          <w:b/>
          <w:i/>
          <w:sz w:val="28"/>
          <w:szCs w:val="28"/>
        </w:rPr>
        <w:t>о результатах работы отдела бухгалтерского учета и отчетности</w:t>
      </w:r>
    </w:p>
    <w:p w:rsidR="000E6B19" w:rsidRDefault="00F255C6" w:rsidP="007D1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936">
        <w:rPr>
          <w:rFonts w:ascii="Times New Roman" w:hAnsi="Times New Roman" w:cs="Times New Roman"/>
          <w:b/>
          <w:i/>
          <w:sz w:val="28"/>
          <w:szCs w:val="28"/>
        </w:rPr>
        <w:t>за 2019 год</w:t>
      </w:r>
    </w:p>
    <w:p w:rsidR="003B04A6" w:rsidRDefault="003B04A6" w:rsidP="002022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68A" w:rsidRPr="000E6B19" w:rsidRDefault="003B04A6" w:rsidP="00202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B04A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Положением об отделе бухгалтерского учета и отчетности (утвержденного распоряжением администрации от 29.07.2016 № 258-р., с измен. от 26.10.2018 № 250-р)</w:t>
      </w:r>
      <w:r w:rsidR="008C768A">
        <w:rPr>
          <w:rFonts w:ascii="Times New Roman" w:hAnsi="Times New Roman" w:cs="Times New Roman"/>
          <w:sz w:val="28"/>
          <w:szCs w:val="28"/>
        </w:rPr>
        <w:t xml:space="preserve"> о</w:t>
      </w:r>
      <w:r w:rsidR="008C768A" w:rsidRPr="000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сновными задачами </w:t>
      </w:r>
      <w:r w:rsidR="008C768A" w:rsidRPr="000E6B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8C768A" w:rsidRPr="000E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8C768A" w:rsidRDefault="00165274" w:rsidP="00202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768A" w:rsidRPr="000E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F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C768A" w:rsidRPr="000E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</w:t>
      </w:r>
      <w:r w:rsidR="001E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ведение </w:t>
      </w:r>
      <w:r w:rsidR="008C768A" w:rsidRPr="000E6B1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 учета финансово-хозяйственной деятельности администрации</w:t>
      </w:r>
      <w:r w:rsidR="001E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бюджетополучателей, с которыми заключены договоры о бухгалтерском обслуживании</w:t>
      </w:r>
      <w:r w:rsidR="00C62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законодательством о бухгалтерском учете</w:t>
      </w:r>
      <w:r w:rsidR="001E7F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768A" w:rsidRPr="000E6B19" w:rsidRDefault="001E7F64" w:rsidP="00202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8C768A" w:rsidRPr="000E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полной и достоверной информации о </w:t>
      </w:r>
      <w:r w:rsidR="00A21779" w:rsidRPr="000E6B1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финансово-хозяйственной деятельности</w:t>
      </w:r>
      <w:r w:rsidR="008C768A" w:rsidRPr="000E6B1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необходимой для оперативного руководства и управления</w:t>
      </w:r>
      <w:r w:rsidR="009E66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19F7" w:rsidRPr="000E6B19" w:rsidRDefault="009E6640" w:rsidP="00202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8C768A" w:rsidRPr="000E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</w:t>
      </w:r>
      <w:r w:rsidR="00303E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направленных на у</w:t>
      </w:r>
      <w:r w:rsidR="0079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финансовой дисциплины</w:t>
      </w:r>
      <w:r w:rsidR="001E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9F7" w:rsidRDefault="007919F7" w:rsidP="002022B0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19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Организация и ведение бухгалтерского учета финансово-хозяйственной деятельности администрации и других бюджетополучателей, с которыми заключены договоры о бухгалтерском обслуживании, в соответствии с законодательством о бухгалтерском учете</w:t>
      </w:r>
    </w:p>
    <w:p w:rsidR="003B75E6" w:rsidRDefault="003B75E6" w:rsidP="003B7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 год отделом бухгалтерского учета и отчетности проведена следующая работа:</w:t>
      </w:r>
    </w:p>
    <w:p w:rsidR="003B75E6" w:rsidRPr="003B75E6" w:rsidRDefault="003B75E6" w:rsidP="003B7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Сформирован проект учетной политики для целей бухгалтерского учета </w:t>
      </w:r>
      <w:r w:rsidR="00D6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последними изменениями законодательства о бухгалтерском учете и введением Федеральных стандартов бухгалтерского учета.</w:t>
      </w:r>
    </w:p>
    <w:p w:rsidR="003B75E6" w:rsidRDefault="003B75E6" w:rsidP="003B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Осуществлено планирование доходов и расходов администрации и обслуживающих бюджетополучателей для формирования бюджета городского округа город Кулебаки на трехлетний период:</w:t>
      </w:r>
    </w:p>
    <w:p w:rsidR="003B75E6" w:rsidRDefault="003B75E6" w:rsidP="003B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рассчитаны прогнозные значения по отдельным видам доходов, по которым отдел исполняет полномочия администратора доходов бюджета городского округа город Кулебаки;</w:t>
      </w:r>
    </w:p>
    <w:p w:rsidR="003B75E6" w:rsidRDefault="003B75E6" w:rsidP="003B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рассчитан фонд оплаты труда работников органов местного самоуправления и казенного учреждения;</w:t>
      </w:r>
    </w:p>
    <w:p w:rsidR="003B75E6" w:rsidRDefault="003B75E6" w:rsidP="003B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сформированы лимиты потребления топливно-энергетических ресурсов;</w:t>
      </w:r>
    </w:p>
    <w:p w:rsidR="003B75E6" w:rsidRDefault="003B75E6" w:rsidP="003B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рассчитана потребность в денежных средствах на ведение финансового-хозяйственной деятельности в соответствии с порядком планирования бюджетных ассигнований;</w:t>
      </w:r>
    </w:p>
    <w:p w:rsidR="003B75E6" w:rsidRDefault="003B75E6" w:rsidP="003B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сформирована бюджетная роспись администрации и Совета депутатов, бюджетная смета и обоснования к бюджетной смете;</w:t>
      </w:r>
    </w:p>
    <w:p w:rsidR="003B75E6" w:rsidRDefault="003B75E6" w:rsidP="003B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подготовлены и размещены в программе АРМ «Бюджетополучатель» бюджетные заявки в соответствии с утвержденной сметой;</w:t>
      </w:r>
    </w:p>
    <w:p w:rsidR="003B75E6" w:rsidRPr="00083FA9" w:rsidRDefault="003B75E6" w:rsidP="003B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подготовлена информация по закупкам для формирования плана-графика закупок.</w:t>
      </w:r>
    </w:p>
    <w:p w:rsidR="001E62D5" w:rsidRPr="003B75E6" w:rsidRDefault="002022B0" w:rsidP="0068225F">
      <w:pPr>
        <w:pStyle w:val="a4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5E6">
        <w:rPr>
          <w:rFonts w:ascii="Times New Roman" w:hAnsi="Times New Roman" w:cs="Times New Roman"/>
          <w:sz w:val="28"/>
          <w:szCs w:val="28"/>
        </w:rPr>
        <w:t>Б</w:t>
      </w:r>
      <w:r w:rsidR="00B3074D" w:rsidRPr="003B75E6">
        <w:rPr>
          <w:rFonts w:ascii="Times New Roman" w:hAnsi="Times New Roman" w:cs="Times New Roman"/>
          <w:sz w:val="28"/>
          <w:szCs w:val="28"/>
        </w:rPr>
        <w:t>ухгалтерский учет ведется в автоматизированной системе «1С: Бухгалтерия</w:t>
      </w:r>
      <w:r w:rsidR="0033117A" w:rsidRPr="003B75E6">
        <w:rPr>
          <w:rFonts w:ascii="Times New Roman" w:hAnsi="Times New Roman" w:cs="Times New Roman"/>
          <w:sz w:val="28"/>
          <w:szCs w:val="28"/>
        </w:rPr>
        <w:t>»</w:t>
      </w:r>
      <w:r w:rsidRPr="003B75E6">
        <w:rPr>
          <w:rFonts w:ascii="Times New Roman" w:hAnsi="Times New Roman" w:cs="Times New Roman"/>
          <w:sz w:val="28"/>
          <w:szCs w:val="28"/>
        </w:rPr>
        <w:t>.</w:t>
      </w:r>
    </w:p>
    <w:p w:rsidR="005D7082" w:rsidRDefault="005D7082" w:rsidP="00202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E24FA1">
        <w:rPr>
          <w:rFonts w:ascii="Times New Roman" w:hAnsi="Times New Roman" w:cs="Times New Roman"/>
          <w:sz w:val="28"/>
          <w:szCs w:val="28"/>
        </w:rPr>
        <w:t>осуществлялся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бухгалтерский учет:</w:t>
      </w:r>
    </w:p>
    <w:p w:rsidR="006C0A1E" w:rsidRDefault="006C0A1E" w:rsidP="00202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доходов</w:t>
      </w:r>
      <w:r w:rsidR="00434422">
        <w:rPr>
          <w:rFonts w:ascii="Times New Roman" w:hAnsi="Times New Roman" w:cs="Times New Roman"/>
          <w:sz w:val="28"/>
          <w:szCs w:val="28"/>
        </w:rPr>
        <w:t>, по которым администрация наделена полномочиями администратора доходов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0A1E" w:rsidRDefault="006C0A1E" w:rsidP="00202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расходов</w:t>
      </w:r>
      <w:r w:rsidR="00434422">
        <w:rPr>
          <w:rFonts w:ascii="Times New Roman" w:hAnsi="Times New Roman" w:cs="Times New Roman"/>
          <w:sz w:val="28"/>
          <w:szCs w:val="28"/>
        </w:rPr>
        <w:t xml:space="preserve"> администрации (программных и непрограммных)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0A1E" w:rsidRDefault="006C0A1E" w:rsidP="00202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основных </w:t>
      </w:r>
      <w:r w:rsidR="00943AF2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C22A24">
        <w:rPr>
          <w:rFonts w:ascii="Times New Roman" w:hAnsi="Times New Roman" w:cs="Times New Roman"/>
          <w:sz w:val="28"/>
          <w:szCs w:val="28"/>
        </w:rPr>
        <w:t xml:space="preserve">непроизведенных активов; </w:t>
      </w:r>
      <w:r>
        <w:rPr>
          <w:rFonts w:ascii="Times New Roman" w:hAnsi="Times New Roman" w:cs="Times New Roman"/>
          <w:sz w:val="28"/>
          <w:szCs w:val="28"/>
        </w:rPr>
        <w:t>имущества, находящегося в муниципальной казне; объектов незавершенного строительства; товарно-материальных ценностей;</w:t>
      </w:r>
    </w:p>
    <w:p w:rsidR="006C0A1E" w:rsidRDefault="006C0A1E" w:rsidP="00202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денежных средств в кассе и на лицевых счетах;</w:t>
      </w:r>
      <w:r w:rsidR="00793E66">
        <w:rPr>
          <w:rFonts w:ascii="Times New Roman" w:hAnsi="Times New Roman" w:cs="Times New Roman"/>
          <w:sz w:val="28"/>
          <w:szCs w:val="28"/>
        </w:rPr>
        <w:t xml:space="preserve"> денежных средств во временном распоряжении в разрезе поставщиков (подрядчиков);</w:t>
      </w:r>
    </w:p>
    <w:p w:rsidR="00793E66" w:rsidRDefault="00793E66" w:rsidP="00202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расчетов с контрагентами по контрактам (договорам) за оказанные услуги (выполненные работы) и приобретенные товарно-материальные ценности;</w:t>
      </w:r>
    </w:p>
    <w:p w:rsidR="00793E66" w:rsidRDefault="00793E66" w:rsidP="00202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расчетов с подотчетными лицами;</w:t>
      </w:r>
    </w:p>
    <w:p w:rsidR="00793E66" w:rsidRDefault="00793E66" w:rsidP="00202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расчетов с работниками по выплате заработной платы</w:t>
      </w:r>
    </w:p>
    <w:p w:rsidR="006C0A1E" w:rsidRDefault="006C0A1E" w:rsidP="00202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E66">
        <w:rPr>
          <w:rFonts w:ascii="Times New Roman" w:hAnsi="Times New Roman" w:cs="Times New Roman"/>
          <w:sz w:val="28"/>
          <w:szCs w:val="28"/>
        </w:rPr>
        <w:t>расчеты с бюджетом и внебюджетными фондами по перечислению налогов и сборов, страховых взносов;</w:t>
      </w:r>
    </w:p>
    <w:p w:rsidR="00793E66" w:rsidRDefault="00793E66" w:rsidP="00202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принятых бюджетных и денежных обязательств;</w:t>
      </w:r>
    </w:p>
    <w:p w:rsidR="00793E66" w:rsidRDefault="00793E66" w:rsidP="00AF4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утвержденных бюджетных ассигнований и </w:t>
      </w:r>
      <w:r w:rsidR="00AF4AEC">
        <w:rPr>
          <w:rFonts w:ascii="Times New Roman" w:hAnsi="Times New Roman" w:cs="Times New Roman"/>
          <w:sz w:val="28"/>
          <w:szCs w:val="28"/>
        </w:rPr>
        <w:t>лимитов бюджетных обязательств;</w:t>
      </w:r>
    </w:p>
    <w:p w:rsidR="00AF4AEC" w:rsidRDefault="00AF4AEC" w:rsidP="00AF4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расчетов с арендаторами по возмещению коммунальных услуг;</w:t>
      </w:r>
    </w:p>
    <w:p w:rsidR="00AF4AEC" w:rsidRDefault="00AF4AEC" w:rsidP="00AF4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расчетов с бывшими работниками, замещавшими муниципальные должности и должности муниципальной службы, по выплате пенсии за выслугу лет.</w:t>
      </w:r>
    </w:p>
    <w:p w:rsidR="007C0F0F" w:rsidRDefault="001E3154" w:rsidP="00D85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</w:t>
      </w:r>
      <w:r w:rsidR="007C0F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C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бухгалтерского учета за 2019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3154" w:rsidRPr="001E3154" w:rsidRDefault="001E3154" w:rsidP="001E3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закрепленные за администрацией как администратором доходов, </w:t>
      </w:r>
      <w:r w:rsidRPr="001E3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поступили в сумме 147,2 млн. рублей, что составляет 87,5% от плановых назначений. Рост доходов к уровню 2018 года составил 11 млн. рублей или 108,1%.</w:t>
      </w:r>
    </w:p>
    <w:p w:rsidR="001E3154" w:rsidRDefault="001E3154" w:rsidP="001E31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поступления доходов 2017-2019 годы</w:t>
      </w:r>
    </w:p>
    <w:tbl>
      <w:tblPr>
        <w:tblStyle w:val="a3"/>
        <w:tblW w:w="10027" w:type="dxa"/>
        <w:jc w:val="center"/>
        <w:tblLook w:val="04A0" w:firstRow="1" w:lastRow="0" w:firstColumn="1" w:lastColumn="0" w:noHBand="0" w:noVBand="1"/>
      </w:tblPr>
      <w:tblGrid>
        <w:gridCol w:w="1852"/>
        <w:gridCol w:w="757"/>
        <w:gridCol w:w="842"/>
        <w:gridCol w:w="1118"/>
        <w:gridCol w:w="774"/>
        <w:gridCol w:w="837"/>
        <w:gridCol w:w="1118"/>
        <w:gridCol w:w="774"/>
        <w:gridCol w:w="837"/>
        <w:gridCol w:w="1118"/>
      </w:tblGrid>
      <w:tr w:rsidR="001E3154" w:rsidRPr="00EC778F" w:rsidTr="001E3154">
        <w:trPr>
          <w:jc w:val="center"/>
        </w:trPr>
        <w:tc>
          <w:tcPr>
            <w:tcW w:w="1912" w:type="dxa"/>
            <w:vMerge w:val="restart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</w:t>
            </w:r>
          </w:p>
        </w:tc>
        <w:tc>
          <w:tcPr>
            <w:tcW w:w="2722" w:type="dxa"/>
            <w:gridSpan w:val="3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735" w:type="dxa"/>
            <w:gridSpan w:val="3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658" w:type="dxa"/>
            <w:gridSpan w:val="3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1E3154" w:rsidRPr="00EC778F" w:rsidTr="001E3154">
        <w:trPr>
          <w:jc w:val="center"/>
        </w:trPr>
        <w:tc>
          <w:tcPr>
            <w:tcW w:w="1912" w:type="dxa"/>
            <w:vMerge/>
            <w:vAlign w:val="center"/>
          </w:tcPr>
          <w:p w:rsidR="001E3154" w:rsidRPr="00EC778F" w:rsidRDefault="001E3154" w:rsidP="001E3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1E3154" w:rsidRPr="00EC778F" w:rsidRDefault="001E3154" w:rsidP="001E3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43" w:type="dxa"/>
            <w:vAlign w:val="center"/>
          </w:tcPr>
          <w:p w:rsidR="001E3154" w:rsidRPr="00EC778F" w:rsidRDefault="001E3154" w:rsidP="001E3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-венные</w:t>
            </w:r>
            <w:proofErr w:type="gramEnd"/>
          </w:p>
        </w:tc>
        <w:tc>
          <w:tcPr>
            <w:tcW w:w="1118" w:type="dxa"/>
            <w:vAlign w:val="center"/>
          </w:tcPr>
          <w:p w:rsidR="001E3154" w:rsidRPr="00EC778F" w:rsidRDefault="001E3154" w:rsidP="001E3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Субсидии, субвенции</w:t>
            </w:r>
          </w:p>
        </w:tc>
        <w:tc>
          <w:tcPr>
            <w:tcW w:w="780" w:type="dxa"/>
            <w:vAlign w:val="center"/>
          </w:tcPr>
          <w:p w:rsidR="001E3154" w:rsidRPr="00EC778F" w:rsidRDefault="001E3154" w:rsidP="001E3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37" w:type="dxa"/>
            <w:vAlign w:val="center"/>
          </w:tcPr>
          <w:p w:rsidR="001E3154" w:rsidRPr="00EC778F" w:rsidRDefault="001E3154" w:rsidP="001E3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-венные</w:t>
            </w:r>
            <w:proofErr w:type="gramEnd"/>
          </w:p>
        </w:tc>
        <w:tc>
          <w:tcPr>
            <w:tcW w:w="1118" w:type="dxa"/>
            <w:vAlign w:val="center"/>
          </w:tcPr>
          <w:p w:rsidR="001E3154" w:rsidRPr="00EC778F" w:rsidRDefault="001E3154" w:rsidP="001E3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Субсидии, субвенции</w:t>
            </w:r>
          </w:p>
        </w:tc>
        <w:tc>
          <w:tcPr>
            <w:tcW w:w="780" w:type="dxa"/>
            <w:vAlign w:val="center"/>
          </w:tcPr>
          <w:p w:rsidR="001E3154" w:rsidRPr="00EC778F" w:rsidRDefault="001E3154" w:rsidP="001E3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37" w:type="dxa"/>
            <w:vAlign w:val="center"/>
          </w:tcPr>
          <w:p w:rsidR="001E3154" w:rsidRPr="00EC778F" w:rsidRDefault="001E3154" w:rsidP="001E3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-венные</w:t>
            </w:r>
            <w:proofErr w:type="gramEnd"/>
          </w:p>
        </w:tc>
        <w:tc>
          <w:tcPr>
            <w:tcW w:w="1041" w:type="dxa"/>
            <w:vAlign w:val="center"/>
          </w:tcPr>
          <w:p w:rsidR="001E3154" w:rsidRPr="00EC778F" w:rsidRDefault="001E3154" w:rsidP="001E31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Субсидии, субвенции</w:t>
            </w:r>
          </w:p>
        </w:tc>
      </w:tr>
      <w:tr w:rsidR="001E3154" w:rsidRPr="00EC778F" w:rsidTr="001E3154">
        <w:trPr>
          <w:jc w:val="center"/>
        </w:trPr>
        <w:tc>
          <w:tcPr>
            <w:tcW w:w="1912" w:type="dxa"/>
            <w:vAlign w:val="center"/>
          </w:tcPr>
          <w:p w:rsidR="001E3154" w:rsidRPr="00EC778F" w:rsidRDefault="001E3154" w:rsidP="008A4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(млн. руб.)</w:t>
            </w:r>
          </w:p>
        </w:tc>
        <w:tc>
          <w:tcPr>
            <w:tcW w:w="761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843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118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780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837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118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780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168,3</w:t>
            </w:r>
          </w:p>
        </w:tc>
        <w:tc>
          <w:tcPr>
            <w:tcW w:w="837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041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124,7</w:t>
            </w:r>
          </w:p>
        </w:tc>
      </w:tr>
      <w:tr w:rsidR="001E3154" w:rsidRPr="00EC778F" w:rsidTr="001E3154">
        <w:trPr>
          <w:jc w:val="center"/>
        </w:trPr>
        <w:tc>
          <w:tcPr>
            <w:tcW w:w="1912" w:type="dxa"/>
            <w:vAlign w:val="center"/>
          </w:tcPr>
          <w:p w:rsidR="001E3154" w:rsidRPr="00EC778F" w:rsidRDefault="001E3154" w:rsidP="008A4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(млн. руб.)</w:t>
            </w:r>
          </w:p>
        </w:tc>
        <w:tc>
          <w:tcPr>
            <w:tcW w:w="761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843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118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780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136,2</w:t>
            </w:r>
          </w:p>
        </w:tc>
        <w:tc>
          <w:tcPr>
            <w:tcW w:w="837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18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780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147,2</w:t>
            </w:r>
          </w:p>
        </w:tc>
        <w:tc>
          <w:tcPr>
            <w:tcW w:w="837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041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</w:tr>
      <w:tr w:rsidR="001E3154" w:rsidRPr="00EC778F" w:rsidTr="001E3154">
        <w:trPr>
          <w:jc w:val="center"/>
        </w:trPr>
        <w:tc>
          <w:tcPr>
            <w:tcW w:w="1912" w:type="dxa"/>
            <w:vAlign w:val="center"/>
          </w:tcPr>
          <w:p w:rsidR="001E3154" w:rsidRPr="00EC778F" w:rsidRDefault="001E3154" w:rsidP="008A4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761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843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118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780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837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18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780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837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041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</w:tr>
    </w:tbl>
    <w:p w:rsidR="001E3154" w:rsidRDefault="001E3154" w:rsidP="001E3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доходы за 2019 год составили 44,4 млн. рублей. К уровню 2018 года рост составил 2,4 млн. рублей. Рост произошел по поступлениям от арендной платы, части прибыли МУП, возврата задолженности прошлых лет.</w:t>
      </w:r>
    </w:p>
    <w:p w:rsidR="001E3154" w:rsidRDefault="001E3154" w:rsidP="001E3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Субсидии, субвенции составили 102,8 млн. рублей. К уровню 2018 года рост составил 8,6 млн. рублей. Рост произошел за счет субсидии с областного бюджета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муниципальной собственности.</w:t>
      </w:r>
    </w:p>
    <w:p w:rsidR="001E3154" w:rsidRDefault="001E3154" w:rsidP="001E3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наделены обязанностями по исполнению полномочий администратора доходов 6 структурных подразделений, за которыми закреплены определенные виды доходов.</w:t>
      </w:r>
    </w:p>
    <w:p w:rsidR="001E3154" w:rsidRDefault="001E3154" w:rsidP="001E3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отделом закреплены следующие виды доходов:</w:t>
      </w:r>
    </w:p>
    <w:p w:rsidR="001E3154" w:rsidRDefault="001E3154" w:rsidP="001E3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компенсация затрат бюджета горо</w:t>
      </w:r>
      <w:r w:rsidR="00046DBE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округа (возврат задолженности прошлых лет, возмещение коммунальных услуг);</w:t>
      </w:r>
    </w:p>
    <w:p w:rsidR="00046DBE" w:rsidRDefault="00046DBE" w:rsidP="001E3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штрафы;</w:t>
      </w:r>
    </w:p>
    <w:p w:rsidR="00046DBE" w:rsidRDefault="00046DBE" w:rsidP="001E3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безвозмездные перечисления физических и юридических лиц;</w:t>
      </w:r>
    </w:p>
    <w:p w:rsidR="00046DBE" w:rsidRDefault="00046DBE" w:rsidP="001E3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субсидии, субвенции из федерального и областного бюджетов.</w:t>
      </w:r>
    </w:p>
    <w:p w:rsidR="00046DBE" w:rsidRDefault="00046DBE" w:rsidP="001E3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доходы поступили в сумме 109,6 млн. рублей, что составляет83,5% от плановых назначений. Рост к уровню 2018 года составил 11 млн. рублей или 111,2%.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Рост произошел за счет возврата задолженности прошлых лет с истекшим сроком исковой давности, выявленной в результате проведенной инвентаризации.</w:t>
      </w:r>
    </w:p>
    <w:p w:rsidR="001E3154" w:rsidRDefault="001E3154" w:rsidP="001E3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Недоимка по доходам на конец отчетного периода составила </w:t>
      </w:r>
      <w:r w:rsidR="00046DBE">
        <w:rPr>
          <w:rFonts w:ascii="Times New Roman" w:eastAsia="Times New Roman" w:hAnsi="Times New Roman" w:cs="Times New Roman"/>
          <w:sz w:val="28"/>
          <w:szCs w:val="28"/>
          <w:lang w:eastAsia="ru-RU"/>
        </w:rPr>
        <w:t>235,4 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что на </w:t>
      </w:r>
      <w:r w:rsidR="00046DBE">
        <w:rPr>
          <w:rFonts w:ascii="Times New Roman" w:eastAsia="Times New Roman" w:hAnsi="Times New Roman" w:cs="Times New Roman"/>
          <w:sz w:val="28"/>
          <w:szCs w:val="28"/>
          <w:lang w:eastAsia="ru-RU"/>
        </w:rPr>
        <w:t>149,9 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 w:rsidR="00046D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2018 года.</w:t>
      </w:r>
      <w:r w:rsidR="0004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произошел по причине несвоевременных платежей арендаторами и неоплаты в добровольном порядке штрафов, наложенных административной комиссией.</w:t>
      </w:r>
    </w:p>
    <w:p w:rsidR="001E3154" w:rsidRDefault="001E3154" w:rsidP="001E3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Расходы администрации исполнены в сумме 461,7 млн. рублей, что составляет 92,9% к уточненному плану. Рост расходов к уровню 2018 года составил 26,7 млн. рублей или 106,1%.</w:t>
      </w:r>
    </w:p>
    <w:p w:rsidR="001E3154" w:rsidRPr="00461E03" w:rsidRDefault="001E3154" w:rsidP="001E31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расходов 2017-2019 годы</w:t>
      </w:r>
    </w:p>
    <w:tbl>
      <w:tblPr>
        <w:tblStyle w:val="a3"/>
        <w:tblW w:w="10027" w:type="dxa"/>
        <w:jc w:val="center"/>
        <w:tblLook w:val="04A0" w:firstRow="1" w:lastRow="0" w:firstColumn="1" w:lastColumn="0" w:noHBand="0" w:noVBand="1"/>
      </w:tblPr>
      <w:tblGrid>
        <w:gridCol w:w="1641"/>
        <w:gridCol w:w="741"/>
        <w:gridCol w:w="1025"/>
        <w:gridCol w:w="1016"/>
        <w:gridCol w:w="752"/>
        <w:gridCol w:w="1025"/>
        <w:gridCol w:w="1021"/>
        <w:gridCol w:w="752"/>
        <w:gridCol w:w="1025"/>
        <w:gridCol w:w="1029"/>
      </w:tblGrid>
      <w:tr w:rsidR="001E3154" w:rsidRPr="00EC778F" w:rsidTr="008A4E0F">
        <w:trPr>
          <w:jc w:val="center"/>
        </w:trPr>
        <w:tc>
          <w:tcPr>
            <w:tcW w:w="1764" w:type="dxa"/>
            <w:vMerge w:val="restart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</w:t>
            </w:r>
          </w:p>
        </w:tc>
        <w:tc>
          <w:tcPr>
            <w:tcW w:w="2799" w:type="dxa"/>
            <w:gridSpan w:val="3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821" w:type="dxa"/>
            <w:gridSpan w:val="3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643" w:type="dxa"/>
            <w:gridSpan w:val="3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1E3154" w:rsidRPr="00EC778F" w:rsidTr="008A4E0F">
        <w:trPr>
          <w:jc w:val="center"/>
        </w:trPr>
        <w:tc>
          <w:tcPr>
            <w:tcW w:w="1764" w:type="dxa"/>
            <w:vMerge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25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Програм-мные</w:t>
            </w:r>
            <w:proofErr w:type="spellEnd"/>
            <w:proofErr w:type="gramEnd"/>
          </w:p>
        </w:tc>
        <w:tc>
          <w:tcPr>
            <w:tcW w:w="1024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Непрог-раммные</w:t>
            </w:r>
            <w:proofErr w:type="spellEnd"/>
            <w:proofErr w:type="gramEnd"/>
          </w:p>
        </w:tc>
        <w:tc>
          <w:tcPr>
            <w:tcW w:w="765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25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Програм-мные</w:t>
            </w:r>
            <w:proofErr w:type="spellEnd"/>
            <w:proofErr w:type="gramEnd"/>
          </w:p>
        </w:tc>
        <w:tc>
          <w:tcPr>
            <w:tcW w:w="1031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Непрог-раммные</w:t>
            </w:r>
            <w:proofErr w:type="spellEnd"/>
            <w:proofErr w:type="gramEnd"/>
          </w:p>
        </w:tc>
        <w:tc>
          <w:tcPr>
            <w:tcW w:w="765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37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Програм-мные</w:t>
            </w:r>
            <w:proofErr w:type="spellEnd"/>
            <w:proofErr w:type="gramEnd"/>
          </w:p>
        </w:tc>
        <w:tc>
          <w:tcPr>
            <w:tcW w:w="1041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Непрог-раммные</w:t>
            </w:r>
            <w:proofErr w:type="spellEnd"/>
            <w:proofErr w:type="gramEnd"/>
          </w:p>
        </w:tc>
      </w:tr>
      <w:tr w:rsidR="001E3154" w:rsidRPr="00EC778F" w:rsidTr="008A4E0F">
        <w:trPr>
          <w:jc w:val="center"/>
        </w:trPr>
        <w:tc>
          <w:tcPr>
            <w:tcW w:w="1764" w:type="dxa"/>
            <w:vAlign w:val="center"/>
          </w:tcPr>
          <w:p w:rsidR="001E3154" w:rsidRPr="00EC778F" w:rsidRDefault="001E3154" w:rsidP="008A4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(млн. руб.)</w:t>
            </w:r>
          </w:p>
        </w:tc>
        <w:tc>
          <w:tcPr>
            <w:tcW w:w="750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438,6</w:t>
            </w:r>
          </w:p>
        </w:tc>
        <w:tc>
          <w:tcPr>
            <w:tcW w:w="1025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374,3</w:t>
            </w:r>
          </w:p>
        </w:tc>
        <w:tc>
          <w:tcPr>
            <w:tcW w:w="1024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765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443,2</w:t>
            </w:r>
          </w:p>
        </w:tc>
        <w:tc>
          <w:tcPr>
            <w:tcW w:w="1025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366,3</w:t>
            </w:r>
          </w:p>
        </w:tc>
        <w:tc>
          <w:tcPr>
            <w:tcW w:w="1031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765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496,8</w:t>
            </w:r>
          </w:p>
        </w:tc>
        <w:tc>
          <w:tcPr>
            <w:tcW w:w="837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1041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</w:t>
            </w:r>
          </w:p>
        </w:tc>
      </w:tr>
      <w:tr w:rsidR="001E3154" w:rsidRPr="00EC778F" w:rsidTr="008A4E0F">
        <w:trPr>
          <w:jc w:val="center"/>
        </w:trPr>
        <w:tc>
          <w:tcPr>
            <w:tcW w:w="1764" w:type="dxa"/>
            <w:vAlign w:val="center"/>
          </w:tcPr>
          <w:p w:rsidR="001E3154" w:rsidRPr="00EC778F" w:rsidRDefault="001E3154" w:rsidP="008A4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(млн. руб.)</w:t>
            </w:r>
          </w:p>
        </w:tc>
        <w:tc>
          <w:tcPr>
            <w:tcW w:w="750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434,7</w:t>
            </w:r>
          </w:p>
        </w:tc>
        <w:tc>
          <w:tcPr>
            <w:tcW w:w="1025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370,7</w:t>
            </w:r>
          </w:p>
        </w:tc>
        <w:tc>
          <w:tcPr>
            <w:tcW w:w="1024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765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435,0</w:t>
            </w:r>
          </w:p>
        </w:tc>
        <w:tc>
          <w:tcPr>
            <w:tcW w:w="1025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358,8</w:t>
            </w:r>
          </w:p>
        </w:tc>
        <w:tc>
          <w:tcPr>
            <w:tcW w:w="1031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765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837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391,6</w:t>
            </w:r>
          </w:p>
        </w:tc>
        <w:tc>
          <w:tcPr>
            <w:tcW w:w="1041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</w:t>
            </w:r>
          </w:p>
        </w:tc>
      </w:tr>
      <w:tr w:rsidR="001E3154" w:rsidRPr="00EC778F" w:rsidTr="008A4E0F">
        <w:trPr>
          <w:jc w:val="center"/>
        </w:trPr>
        <w:tc>
          <w:tcPr>
            <w:tcW w:w="1764" w:type="dxa"/>
            <w:vAlign w:val="center"/>
          </w:tcPr>
          <w:p w:rsidR="001E3154" w:rsidRPr="00EC778F" w:rsidRDefault="001E3154" w:rsidP="008A4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750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025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24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765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025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1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765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837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041" w:type="dxa"/>
            <w:vAlign w:val="center"/>
          </w:tcPr>
          <w:p w:rsidR="001E3154" w:rsidRPr="00EC778F" w:rsidRDefault="001E3154" w:rsidP="008A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</w:tbl>
    <w:p w:rsidR="001E3154" w:rsidRDefault="001E3154" w:rsidP="001E3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действовало 18 муниципальных программ, расходы по которым составили 391,6 млн. рублей или 84,8% всех расходов.</w:t>
      </w:r>
      <w:r w:rsidR="004D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2018 года рост программных расходов составил 32,8 млн. рублей.</w:t>
      </w:r>
    </w:p>
    <w:p w:rsidR="001E3154" w:rsidRDefault="004D2BEA" w:rsidP="001E3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были направлены на реализацию мероприятий в рамках муниципальных программ.</w:t>
      </w:r>
    </w:p>
    <w:p w:rsidR="001E3154" w:rsidRPr="0046115D" w:rsidRDefault="001E3154" w:rsidP="001E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15D">
        <w:rPr>
          <w:rFonts w:ascii="Times New Roman" w:hAnsi="Times New Roman" w:cs="Times New Roman"/>
          <w:sz w:val="28"/>
          <w:szCs w:val="28"/>
        </w:rPr>
        <w:t>В отчетном периоде администрацией исполнялись три национальных проекта:</w:t>
      </w:r>
    </w:p>
    <w:p w:rsidR="001E3154" w:rsidRPr="0046115D" w:rsidRDefault="001E3154" w:rsidP="001E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15D">
        <w:rPr>
          <w:rFonts w:ascii="Times New Roman" w:hAnsi="Times New Roman" w:cs="Times New Roman"/>
          <w:sz w:val="28"/>
          <w:szCs w:val="28"/>
        </w:rPr>
        <w:t>- Федеральный проект «Акселерация субъектов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(возмещение части затрат субъектам малого и среднего предпринимательства, занимающихся социально-значимыми видами деятельности)</w:t>
      </w:r>
      <w:r w:rsidRPr="0046115D">
        <w:rPr>
          <w:rFonts w:ascii="Times New Roman" w:hAnsi="Times New Roman" w:cs="Times New Roman"/>
          <w:sz w:val="28"/>
          <w:szCs w:val="28"/>
        </w:rPr>
        <w:t>;</w:t>
      </w:r>
    </w:p>
    <w:p w:rsidR="001E3154" w:rsidRPr="0011685C" w:rsidRDefault="001E3154" w:rsidP="001E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15D">
        <w:rPr>
          <w:rFonts w:ascii="Times New Roman" w:hAnsi="Times New Roman" w:cs="Times New Roman"/>
          <w:sz w:val="28"/>
          <w:szCs w:val="28"/>
        </w:rPr>
        <w:t>- Федеральный проект «Оздоровление Волги»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1685C">
        <w:rPr>
          <w:rFonts w:ascii="Times New Roman" w:eastAsia="Calibri" w:hAnsi="Times New Roman" w:cs="Times New Roman"/>
          <w:sz w:val="28"/>
          <w:szCs w:val="28"/>
        </w:rPr>
        <w:t>выполнени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11685C">
        <w:rPr>
          <w:rFonts w:ascii="Times New Roman" w:eastAsia="Calibri" w:hAnsi="Times New Roman" w:cs="Times New Roman"/>
          <w:sz w:val="28"/>
          <w:szCs w:val="28"/>
        </w:rPr>
        <w:t xml:space="preserve"> проектных и изыскательских работ </w:t>
      </w:r>
      <w:r w:rsidRPr="0011685C">
        <w:rPr>
          <w:rFonts w:ascii="Times New Roman" w:eastAsia="Calibri" w:hAnsi="Times New Roman" w:cs="Times New Roman"/>
          <w:bCs/>
          <w:sz w:val="28"/>
          <w:szCs w:val="28"/>
        </w:rPr>
        <w:t xml:space="preserve">по объекту </w:t>
      </w:r>
      <w:r w:rsidRPr="0011685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«Модернизация системы водоотведения и очистки сточных вод </w:t>
      </w:r>
      <w:proofErr w:type="spellStart"/>
      <w:r w:rsidRPr="0011685C">
        <w:rPr>
          <w:rFonts w:ascii="Times New Roman" w:eastAsia="Calibri" w:hAnsi="Times New Roman" w:cs="Times New Roman"/>
          <w:bCs/>
          <w:i/>
          <w:sz w:val="28"/>
          <w:szCs w:val="28"/>
        </w:rPr>
        <w:t>г.о.г.Кулебаки</w:t>
      </w:r>
      <w:proofErr w:type="spellEnd"/>
      <w:r w:rsidRPr="0011685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Нижегородской области»)</w:t>
      </w:r>
      <w:r w:rsidRPr="0011685C">
        <w:rPr>
          <w:rFonts w:ascii="Times New Roman" w:hAnsi="Times New Roman" w:cs="Times New Roman"/>
          <w:sz w:val="28"/>
          <w:szCs w:val="28"/>
        </w:rPr>
        <w:t>;</w:t>
      </w:r>
    </w:p>
    <w:p w:rsidR="001E3154" w:rsidRPr="0046115D" w:rsidRDefault="001E3154" w:rsidP="001E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15D">
        <w:rPr>
          <w:rFonts w:ascii="Times New Roman" w:hAnsi="Times New Roman" w:cs="Times New Roman"/>
          <w:sz w:val="28"/>
          <w:szCs w:val="28"/>
        </w:rPr>
        <w:t xml:space="preserve">- «Формирование современной городской среды на территории </w:t>
      </w:r>
      <w:proofErr w:type="spellStart"/>
      <w:r w:rsidRPr="0046115D">
        <w:rPr>
          <w:rFonts w:ascii="Times New Roman" w:hAnsi="Times New Roman" w:cs="Times New Roman"/>
          <w:sz w:val="28"/>
          <w:szCs w:val="28"/>
        </w:rPr>
        <w:t>г.о.г.Кулебаки</w:t>
      </w:r>
      <w:proofErr w:type="spellEnd"/>
      <w:r w:rsidRPr="0046115D">
        <w:rPr>
          <w:rFonts w:ascii="Times New Roman" w:hAnsi="Times New Roman" w:cs="Times New Roman"/>
          <w:sz w:val="28"/>
          <w:szCs w:val="28"/>
        </w:rPr>
        <w:t xml:space="preserve"> Нижегородской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(обустройство дворовых территорий и общественных пространств).</w:t>
      </w:r>
    </w:p>
    <w:p w:rsidR="001E3154" w:rsidRDefault="001E3154" w:rsidP="001E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</w:t>
      </w:r>
      <w:r w:rsidRPr="0046115D">
        <w:rPr>
          <w:rFonts w:ascii="Times New Roman" w:hAnsi="Times New Roman" w:cs="Times New Roman"/>
          <w:sz w:val="28"/>
          <w:szCs w:val="28"/>
        </w:rPr>
        <w:t xml:space="preserve">а реализацию национальных проектов в отчетном периоде </w:t>
      </w:r>
      <w:r>
        <w:rPr>
          <w:rFonts w:ascii="Times New Roman" w:hAnsi="Times New Roman" w:cs="Times New Roman"/>
          <w:sz w:val="28"/>
          <w:szCs w:val="28"/>
        </w:rPr>
        <w:t>составили 28,3 млн.</w:t>
      </w:r>
      <w:r w:rsidRPr="0046115D">
        <w:rPr>
          <w:rFonts w:ascii="Times New Roman" w:hAnsi="Times New Roman" w:cs="Times New Roman"/>
          <w:sz w:val="28"/>
          <w:szCs w:val="28"/>
        </w:rPr>
        <w:t xml:space="preserve"> рублей (69,9% от </w:t>
      </w:r>
      <w:r>
        <w:rPr>
          <w:rFonts w:ascii="Times New Roman" w:hAnsi="Times New Roman" w:cs="Times New Roman"/>
          <w:sz w:val="28"/>
          <w:szCs w:val="28"/>
        </w:rPr>
        <w:t>уточненного плана</w:t>
      </w:r>
      <w:r w:rsidRPr="0046115D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Не закончен срок действия контракта на </w:t>
      </w:r>
      <w:r w:rsidRPr="0011685C">
        <w:rPr>
          <w:rFonts w:ascii="Times New Roman" w:eastAsia="Calibri" w:hAnsi="Times New Roman" w:cs="Times New Roman"/>
          <w:sz w:val="28"/>
          <w:szCs w:val="28"/>
        </w:rPr>
        <w:t>выполнени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11685C">
        <w:rPr>
          <w:rFonts w:ascii="Times New Roman" w:eastAsia="Calibri" w:hAnsi="Times New Roman" w:cs="Times New Roman"/>
          <w:sz w:val="28"/>
          <w:szCs w:val="28"/>
        </w:rPr>
        <w:t xml:space="preserve"> проектных и изыскательских работ </w:t>
      </w:r>
      <w:r w:rsidRPr="0011685C">
        <w:rPr>
          <w:rFonts w:ascii="Times New Roman" w:eastAsia="Calibri" w:hAnsi="Times New Roman" w:cs="Times New Roman"/>
          <w:bCs/>
          <w:sz w:val="28"/>
          <w:szCs w:val="28"/>
        </w:rPr>
        <w:t xml:space="preserve">по объекту </w:t>
      </w:r>
      <w:r w:rsidRPr="0011685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«Модернизация системы водоотведения и очистки сточных вод </w:t>
      </w:r>
      <w:proofErr w:type="spellStart"/>
      <w:r w:rsidRPr="0011685C">
        <w:rPr>
          <w:rFonts w:ascii="Times New Roman" w:eastAsia="Calibri" w:hAnsi="Times New Roman" w:cs="Times New Roman"/>
          <w:bCs/>
          <w:i/>
          <w:sz w:val="28"/>
          <w:szCs w:val="28"/>
        </w:rPr>
        <w:t>г.о.г.Кулебаки</w:t>
      </w:r>
      <w:proofErr w:type="spellEnd"/>
      <w:r w:rsidRPr="0011685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Нижегородской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154" w:rsidRDefault="001E3154" w:rsidP="001E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увеличены расходы на предоставление субсидии на иные цели муниципальным бюджетным учреждениям культуры, их рост составил 36,5 млн. рублей. </w:t>
      </w:r>
    </w:p>
    <w:p w:rsidR="00046DBE" w:rsidRDefault="004D2BEA" w:rsidP="001E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непрограммных расходов производилось в рамках сметы и составило 70,1 млн. рублей или 15,2% всех расходов.</w:t>
      </w:r>
      <w:r w:rsidR="00C469EE">
        <w:rPr>
          <w:rFonts w:ascii="Times New Roman" w:hAnsi="Times New Roman" w:cs="Times New Roman"/>
          <w:sz w:val="28"/>
          <w:szCs w:val="28"/>
        </w:rPr>
        <w:t xml:space="preserve"> К уровню 2018 года расходы снизились на 6,1 млн. рублей.</w:t>
      </w:r>
    </w:p>
    <w:p w:rsidR="00C469EE" w:rsidRDefault="00C469EE" w:rsidP="001E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денежные средства направлены на содержание администрации, выплату пенсии бывшим муниципальным служащим, перечисление субсидии муниципальным учреждениям.</w:t>
      </w:r>
    </w:p>
    <w:p w:rsidR="009B21EE" w:rsidRPr="0013008B" w:rsidRDefault="009B21EE" w:rsidP="009B2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исполнения расходов сформированы и размещены:</w:t>
      </w:r>
    </w:p>
    <w:p w:rsidR="009B21EE" w:rsidRPr="0013008B" w:rsidRDefault="009B21EE" w:rsidP="009B2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8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программе «АРМ-Бюджетополучатель» 354 бюджетные заявки на распределение и изменение бюджетных ассигнований (на уровне 2018 года);</w:t>
      </w:r>
    </w:p>
    <w:p w:rsidR="009B21EE" w:rsidRPr="0013008B" w:rsidRDefault="009B21EE" w:rsidP="009B2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8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программе «АЦК-Госзаказ» для постановки на учет 251 бюджетное обязательство (на 145 ниже уровня 2018 года);</w:t>
      </w:r>
    </w:p>
    <w:p w:rsidR="009B21EE" w:rsidRPr="0013008B" w:rsidRDefault="009B21EE" w:rsidP="009B2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8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программе «АРМ-Бюджетополучатель» 5686 заявок на оплату поставленных товаров (выполненных работ, оказанных услуг (на 229 выше уровня 2018 года).</w:t>
      </w:r>
    </w:p>
    <w:p w:rsidR="001E3154" w:rsidRDefault="001E3154" w:rsidP="001E3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ab/>
      </w:r>
      <w:r w:rsidRPr="00134EE4">
        <w:rPr>
          <w:rFonts w:ascii="Times New Roman" w:hAnsi="Times New Roman" w:cs="Times New Roman"/>
          <w:sz w:val="28"/>
          <w:szCs w:val="28"/>
        </w:rPr>
        <w:t>3. Дебиторская 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по итогам 2019 года составила 243,9 млн. рублей. В целом, рост дебиторской задолженности к уровню 2018 года составил 243,7 млн. рублей. Увеличение дебиторской задолженности связано с отражением в соответствии с законодательством в бухгалтерском учете субсидий муниципальным бюджетным и автономным учреждениям 243,8 млн. рублей, перечисленных в соответствии с Соглашениями, и снижением задолженности по авансовым платежам, в соответствии с условиями договоров (контрактов), на 126,7 тыс. рублей.</w:t>
      </w:r>
    </w:p>
    <w:p w:rsidR="001E3154" w:rsidRDefault="001E3154" w:rsidP="001E3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Кредиторская задолженность по итогам 2019 года составила 23,2 тыс. рублей. Рост к уровню 2018 года составил 12,8 тыс. рублей (окончательный расчет за потребленные коммунальные услуги).</w:t>
      </w:r>
    </w:p>
    <w:p w:rsidR="001E3154" w:rsidRDefault="001E3154" w:rsidP="001E3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Просроченной кредиторской задолженности на конец отчетного периода нет.</w:t>
      </w:r>
    </w:p>
    <w:p w:rsidR="001E3154" w:rsidRPr="0018505B" w:rsidRDefault="001E3154" w:rsidP="001E3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F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Балансовая с</w:t>
      </w:r>
      <w:r w:rsidRPr="0043602A">
        <w:rPr>
          <w:rFonts w:ascii="Times New Roman" w:hAnsi="Times New Roman" w:cs="Times New Roman"/>
          <w:sz w:val="28"/>
          <w:szCs w:val="28"/>
        </w:rPr>
        <w:t xml:space="preserve">тоимость </w:t>
      </w:r>
      <w:r>
        <w:rPr>
          <w:rFonts w:ascii="Times New Roman" w:hAnsi="Times New Roman" w:cs="Times New Roman"/>
          <w:sz w:val="28"/>
          <w:szCs w:val="28"/>
        </w:rPr>
        <w:t xml:space="preserve">нефинансовых активов </w:t>
      </w:r>
      <w:r w:rsidRPr="0043602A">
        <w:rPr>
          <w:rFonts w:ascii="Times New Roman" w:hAnsi="Times New Roman" w:cs="Times New Roman"/>
          <w:sz w:val="28"/>
          <w:szCs w:val="28"/>
        </w:rPr>
        <w:t xml:space="preserve">на конец отчетного периода составила </w:t>
      </w:r>
      <w:r>
        <w:rPr>
          <w:rFonts w:ascii="Times New Roman" w:hAnsi="Times New Roman" w:cs="Times New Roman"/>
          <w:sz w:val="28"/>
          <w:szCs w:val="28"/>
        </w:rPr>
        <w:t>2022,5 млн.</w:t>
      </w:r>
      <w:r w:rsidRPr="0043602A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t xml:space="preserve">, </w:t>
      </w:r>
      <w:r w:rsidRPr="0018505B">
        <w:rPr>
          <w:rFonts w:ascii="Times New Roman" w:hAnsi="Times New Roman" w:cs="Times New Roman"/>
          <w:sz w:val="28"/>
          <w:szCs w:val="28"/>
        </w:rPr>
        <w:t>в том числе:</w:t>
      </w:r>
    </w:p>
    <w:p w:rsidR="001E3154" w:rsidRPr="0018505B" w:rsidRDefault="001E3154" w:rsidP="001E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0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основных средств</w:t>
      </w:r>
      <w:r w:rsidRPr="0018505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36,8 млн.</w:t>
      </w:r>
      <w:r w:rsidRPr="0018505B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ей;</w:t>
      </w:r>
    </w:p>
    <w:p w:rsidR="001E3154" w:rsidRDefault="001E3154" w:rsidP="001E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0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непроизведенных активов (земельных участков) </w:t>
      </w:r>
      <w:r w:rsidRPr="0018505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17,6 млн. рублей;</w:t>
      </w:r>
    </w:p>
    <w:p w:rsidR="001E3154" w:rsidRDefault="001E3154" w:rsidP="001E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материальных запасов – 0,5 млн. рублей;</w:t>
      </w:r>
    </w:p>
    <w:p w:rsidR="001E3154" w:rsidRDefault="001E3154" w:rsidP="001E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вложений в нефинансовые активы – 33,4 млн. рублей;</w:t>
      </w:r>
    </w:p>
    <w:p w:rsidR="001E3154" w:rsidRDefault="001E3154" w:rsidP="001E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имущества казны – 1934,2 млн. рублей.</w:t>
      </w:r>
    </w:p>
    <w:p w:rsidR="001E3154" w:rsidRDefault="001E3154" w:rsidP="001E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увеличение стоимости нефинансовых активов составило </w:t>
      </w:r>
      <w:r w:rsidR="00B22874">
        <w:rPr>
          <w:rFonts w:ascii="Times New Roman" w:hAnsi="Times New Roman" w:cs="Times New Roman"/>
          <w:sz w:val="28"/>
          <w:szCs w:val="28"/>
        </w:rPr>
        <w:t>1,7</w:t>
      </w:r>
      <w:r w:rsidRPr="00A17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млн. рублей, в том числе:</w:t>
      </w:r>
    </w:p>
    <w:p w:rsidR="001E3154" w:rsidRPr="0018505B" w:rsidRDefault="001E3154" w:rsidP="001E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0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основных средств</w:t>
      </w:r>
      <w:r w:rsidRPr="0018505B">
        <w:rPr>
          <w:rFonts w:ascii="Times New Roman" w:hAnsi="Times New Roman" w:cs="Times New Roman"/>
          <w:sz w:val="28"/>
          <w:szCs w:val="28"/>
        </w:rPr>
        <w:t xml:space="preserve"> – </w:t>
      </w:r>
      <w:r w:rsidR="00F62FBF">
        <w:rPr>
          <w:rFonts w:ascii="Times New Roman" w:hAnsi="Times New Roman" w:cs="Times New Roman"/>
          <w:sz w:val="28"/>
          <w:szCs w:val="28"/>
        </w:rPr>
        <w:t>1,7</w:t>
      </w:r>
      <w:r>
        <w:rPr>
          <w:rFonts w:ascii="Times New Roman" w:hAnsi="Times New Roman" w:cs="Times New Roman"/>
          <w:sz w:val="28"/>
          <w:szCs w:val="28"/>
        </w:rPr>
        <w:t xml:space="preserve"> млн.</w:t>
      </w:r>
      <w:r w:rsidRPr="0018505B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62FBF">
        <w:rPr>
          <w:rFonts w:ascii="Times New Roman" w:hAnsi="Times New Roman" w:cs="Times New Roman"/>
          <w:sz w:val="28"/>
          <w:szCs w:val="28"/>
        </w:rPr>
        <w:t xml:space="preserve"> (приобретена компьютерная техника</w:t>
      </w:r>
      <w:r w:rsidR="00B22874">
        <w:rPr>
          <w:rFonts w:ascii="Times New Roman" w:hAnsi="Times New Roman" w:cs="Times New Roman"/>
          <w:sz w:val="28"/>
          <w:szCs w:val="28"/>
        </w:rPr>
        <w:t xml:space="preserve"> и мебель</w:t>
      </w:r>
      <w:r w:rsidR="00F62FBF">
        <w:rPr>
          <w:rFonts w:ascii="Times New Roman" w:hAnsi="Times New Roman" w:cs="Times New Roman"/>
          <w:sz w:val="28"/>
          <w:szCs w:val="28"/>
        </w:rPr>
        <w:t xml:space="preserve">, получены безвозмездно </w:t>
      </w:r>
      <w:r w:rsidR="00B22874">
        <w:rPr>
          <w:rFonts w:ascii="Times New Roman" w:hAnsi="Times New Roman" w:cs="Times New Roman"/>
          <w:sz w:val="28"/>
          <w:szCs w:val="28"/>
        </w:rPr>
        <w:t>нежилое помещение и гаражи)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3154" w:rsidRDefault="001E3154" w:rsidP="001E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уменьшение стоимости нефинансовых активов составило </w:t>
      </w:r>
      <w:r w:rsidR="00B22874">
        <w:rPr>
          <w:rFonts w:ascii="Times New Roman" w:hAnsi="Times New Roman" w:cs="Times New Roman"/>
          <w:sz w:val="28"/>
          <w:szCs w:val="28"/>
        </w:rPr>
        <w:t>27,4</w:t>
      </w:r>
      <w:r>
        <w:rPr>
          <w:rFonts w:ascii="Times New Roman" w:hAnsi="Times New Roman" w:cs="Times New Roman"/>
          <w:sz w:val="28"/>
          <w:szCs w:val="28"/>
        </w:rPr>
        <w:t xml:space="preserve"> млн. рублей, в том числе:</w:t>
      </w:r>
    </w:p>
    <w:p w:rsidR="001E3154" w:rsidRDefault="001E3154" w:rsidP="001E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материальных запасов – </w:t>
      </w:r>
      <w:r w:rsidR="00F62FBF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Pr="00760754">
        <w:rPr>
          <w:rFonts w:ascii="Times New Roman" w:hAnsi="Times New Roman" w:cs="Times New Roman"/>
          <w:i/>
          <w:sz w:val="28"/>
          <w:szCs w:val="28"/>
        </w:rPr>
        <w:t>списаны на нужды администрации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E3154" w:rsidRPr="000464A7" w:rsidRDefault="001E3154" w:rsidP="001E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вложений в нефинансовые активы – </w:t>
      </w:r>
      <w:r w:rsidR="00F62FBF">
        <w:rPr>
          <w:rFonts w:ascii="Times New Roman" w:hAnsi="Times New Roman" w:cs="Times New Roman"/>
          <w:sz w:val="28"/>
          <w:szCs w:val="28"/>
        </w:rPr>
        <w:t>15,2</w:t>
      </w:r>
      <w:r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Pr="000464A7">
        <w:rPr>
          <w:rFonts w:ascii="Times New Roman" w:hAnsi="Times New Roman" w:cs="Times New Roman"/>
          <w:sz w:val="28"/>
          <w:szCs w:val="28"/>
        </w:rPr>
        <w:t>(</w:t>
      </w:r>
      <w:r w:rsidRPr="00B704C1">
        <w:rPr>
          <w:rFonts w:ascii="Times New Roman" w:hAnsi="Times New Roman" w:cs="Times New Roman"/>
          <w:i/>
          <w:sz w:val="28"/>
          <w:szCs w:val="28"/>
        </w:rPr>
        <w:t>межпоселковый газопровод в связи с завершением строительства</w:t>
      </w:r>
      <w:r w:rsidR="00F62FBF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3154" w:rsidRDefault="001E3154" w:rsidP="001E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имущества казны – </w:t>
      </w:r>
      <w:r w:rsidR="00B2287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Pr="00760754">
        <w:rPr>
          <w:rFonts w:ascii="Times New Roman" w:hAnsi="Times New Roman" w:cs="Times New Roman"/>
          <w:i/>
          <w:sz w:val="28"/>
          <w:szCs w:val="28"/>
        </w:rPr>
        <w:t>передавалось в оперативное управление муниципальным бюджетным учреждениям, казенным учреждениям и хозяйственное ведение МУП, а также исключалось из реестра муниципального имущества в соответствии с постановлениями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E3154" w:rsidRDefault="001E3154" w:rsidP="001E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EEC">
        <w:rPr>
          <w:rFonts w:ascii="Times New Roman" w:hAnsi="Times New Roman" w:cs="Times New Roman"/>
          <w:sz w:val="28"/>
          <w:szCs w:val="28"/>
        </w:rPr>
        <w:t xml:space="preserve">Амортизация основных средств на конец отчетного периода составляет </w:t>
      </w:r>
      <w:r>
        <w:rPr>
          <w:rFonts w:ascii="Times New Roman" w:hAnsi="Times New Roman" w:cs="Times New Roman"/>
          <w:sz w:val="28"/>
          <w:szCs w:val="28"/>
        </w:rPr>
        <w:t>20,8 млн.</w:t>
      </w:r>
      <w:r w:rsidRPr="00E72EEC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Pr="00E72EEC">
        <w:rPr>
          <w:rFonts w:ascii="Times New Roman" w:hAnsi="Times New Roman" w:cs="Times New Roman"/>
          <w:sz w:val="28"/>
          <w:szCs w:val="28"/>
        </w:rPr>
        <w:t>56,6% от стоимости</w:t>
      </w:r>
      <w:r>
        <w:rPr>
          <w:rFonts w:ascii="Times New Roman" w:hAnsi="Times New Roman" w:cs="Times New Roman"/>
          <w:sz w:val="28"/>
          <w:szCs w:val="28"/>
        </w:rPr>
        <w:t xml:space="preserve"> основных средств</w:t>
      </w:r>
      <w:r w:rsidRPr="00E72EEC">
        <w:rPr>
          <w:rFonts w:ascii="Times New Roman" w:hAnsi="Times New Roman" w:cs="Times New Roman"/>
          <w:sz w:val="28"/>
          <w:szCs w:val="28"/>
        </w:rPr>
        <w:t>.</w:t>
      </w:r>
    </w:p>
    <w:p w:rsidR="001E3154" w:rsidRDefault="001E3154" w:rsidP="001E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отделом проводится инвентаризация нефинансовых и финансовых активов, обязательств. По итогам инвентаризации, проведенной в 2019 году расхождений с бухгалтерским учетом не установлено.</w:t>
      </w:r>
    </w:p>
    <w:p w:rsidR="001E3154" w:rsidRDefault="001E3154" w:rsidP="001E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осуществляется внутренний контроль (текущий и последующий) в процессе всей работы</w:t>
      </w:r>
      <w:r w:rsidR="00B2287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22874" w:rsidRDefault="00B22874" w:rsidP="001E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соответствия принимаемых бюджетных обязательств лимитам бюджетных обязательств;</w:t>
      </w:r>
    </w:p>
    <w:p w:rsidR="000029F0" w:rsidRDefault="000029F0" w:rsidP="001E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правомерности </w:t>
      </w:r>
      <w:r w:rsidR="00982541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>
        <w:rPr>
          <w:rFonts w:ascii="Times New Roman" w:hAnsi="Times New Roman" w:cs="Times New Roman"/>
          <w:sz w:val="28"/>
          <w:szCs w:val="28"/>
        </w:rPr>
        <w:t>авансовых платежей в договора</w:t>
      </w:r>
      <w:r w:rsidR="0098254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(контракта</w:t>
      </w:r>
      <w:r w:rsidR="0098254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982541">
        <w:rPr>
          <w:rFonts w:ascii="Times New Roman" w:hAnsi="Times New Roman" w:cs="Times New Roman"/>
          <w:sz w:val="28"/>
          <w:szCs w:val="28"/>
        </w:rPr>
        <w:t>;</w:t>
      </w:r>
    </w:p>
    <w:p w:rsidR="00B22874" w:rsidRDefault="00B22874" w:rsidP="001E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соответствия обязательных реквизитов в первичных документах;</w:t>
      </w:r>
    </w:p>
    <w:p w:rsidR="000029F0" w:rsidRDefault="000029F0" w:rsidP="001E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соответствия первичных документов на оплату</w:t>
      </w:r>
      <w:r w:rsidR="00982541">
        <w:rPr>
          <w:rFonts w:ascii="Times New Roman" w:hAnsi="Times New Roman" w:cs="Times New Roman"/>
          <w:sz w:val="28"/>
          <w:szCs w:val="28"/>
        </w:rPr>
        <w:t xml:space="preserve"> и информации, содержащейся в таких документах, условиям договоров (контрактов);</w:t>
      </w:r>
    </w:p>
    <w:p w:rsidR="00B22874" w:rsidRDefault="00B22874" w:rsidP="001E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расходования денежных средств в соответствии с предусмотренными в бюджете расходами</w:t>
      </w:r>
      <w:r w:rsidR="000029F0">
        <w:rPr>
          <w:rFonts w:ascii="Times New Roman" w:hAnsi="Times New Roman" w:cs="Times New Roman"/>
          <w:sz w:val="28"/>
          <w:szCs w:val="28"/>
        </w:rPr>
        <w:t>;</w:t>
      </w:r>
    </w:p>
    <w:p w:rsidR="000029F0" w:rsidRDefault="000029F0" w:rsidP="001E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 </w:t>
      </w:r>
      <w:r w:rsidR="00982541">
        <w:rPr>
          <w:rFonts w:ascii="Times New Roman" w:hAnsi="Times New Roman" w:cs="Times New Roman"/>
          <w:sz w:val="28"/>
          <w:szCs w:val="28"/>
        </w:rPr>
        <w:t xml:space="preserve">целевого </w:t>
      </w:r>
      <w:r>
        <w:rPr>
          <w:rFonts w:ascii="Times New Roman" w:hAnsi="Times New Roman" w:cs="Times New Roman"/>
          <w:sz w:val="28"/>
          <w:szCs w:val="28"/>
        </w:rPr>
        <w:t>расходования денежных средств</w:t>
      </w:r>
      <w:r w:rsidR="00982541">
        <w:rPr>
          <w:rFonts w:ascii="Times New Roman" w:hAnsi="Times New Roman" w:cs="Times New Roman"/>
          <w:sz w:val="28"/>
          <w:szCs w:val="28"/>
        </w:rPr>
        <w:t>;</w:t>
      </w:r>
    </w:p>
    <w:p w:rsidR="000029F0" w:rsidRDefault="000029F0" w:rsidP="001E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соблюдения утвержденных муниципальными правовыми актами нормативов на осуществление расходов</w:t>
      </w:r>
      <w:r w:rsidR="00982541">
        <w:rPr>
          <w:rFonts w:ascii="Times New Roman" w:hAnsi="Times New Roman" w:cs="Times New Roman"/>
          <w:sz w:val="28"/>
          <w:szCs w:val="28"/>
        </w:rPr>
        <w:t>;</w:t>
      </w:r>
    </w:p>
    <w:p w:rsidR="00394350" w:rsidRDefault="00982541" w:rsidP="001E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4350">
        <w:rPr>
          <w:rFonts w:ascii="Times New Roman" w:hAnsi="Times New Roman" w:cs="Times New Roman"/>
          <w:sz w:val="28"/>
          <w:szCs w:val="28"/>
        </w:rPr>
        <w:t>соблюдения сроков при осуществлении расходов;</w:t>
      </w:r>
    </w:p>
    <w:p w:rsidR="00394350" w:rsidRDefault="00394350" w:rsidP="0039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соблюдения сроков отражения операций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автоматизированной системе «1С: Бухгалтерия».</w:t>
      </w:r>
    </w:p>
    <w:p w:rsidR="004B7423" w:rsidRPr="004B7423" w:rsidRDefault="00394350" w:rsidP="000D6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160">
        <w:rPr>
          <w:rFonts w:ascii="Times New Roman" w:hAnsi="Times New Roman" w:cs="Times New Roman"/>
          <w:sz w:val="28"/>
          <w:szCs w:val="28"/>
        </w:rPr>
        <w:t>2</w:t>
      </w:r>
      <w:r w:rsidR="004B7423" w:rsidRPr="004B7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Формирование полной и достоверной информации о финансово-хозяйственной деятельности, необходимой для оперативного руководства и управления</w:t>
      </w:r>
      <w:r w:rsidR="004B74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D6160" w:rsidRDefault="000D6160" w:rsidP="000D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отчетного периода отделом была сформирована и предоставлена в органы исполнительной власти Нижегородской области</w:t>
      </w:r>
      <w:r w:rsidR="001B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Соглашениями 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="001B56B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 использовании субсидий, субвенций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257C" w:rsidRDefault="001B56BD" w:rsidP="00A37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6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формирована и предоставлена в финансовое управление месячная, квартальная, полугодовая, за 9 месяцев бюджетная отчетность.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99 отчетов</w:t>
      </w:r>
      <w:r w:rsidR="00762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2DA" w:rsidRDefault="001502DA" w:rsidP="00A37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в течение года предоставлялись </w:t>
      </w:r>
      <w:r w:rsidR="001B5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запросам главы администрации, структурных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подразделений администрации, УФК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 и информация</w:t>
      </w:r>
      <w:r w:rsidR="00E815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D89" w:rsidRDefault="006C48AF" w:rsidP="00FC4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C4D89" w:rsidRPr="00FC4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Осуществление мероприятий, направленных на укрепление финансовой дисциплины. </w:t>
      </w:r>
    </w:p>
    <w:p w:rsidR="004B3FA7" w:rsidRDefault="004B3FA7" w:rsidP="00FC4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укрепления финансовой дисциплины отделом </w:t>
      </w:r>
      <w:r w:rsidR="006C4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внутренний (текущий и последующий) контроль:</w:t>
      </w:r>
    </w:p>
    <w:p w:rsidR="006C48AF" w:rsidRDefault="006C48AF" w:rsidP="006C4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соответствия принимаемых бюджетных обязательств лимитам бюджетных обязательств;</w:t>
      </w:r>
    </w:p>
    <w:p w:rsidR="006C48AF" w:rsidRDefault="006C48AF" w:rsidP="006C4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правомерности предусмотренных авансовых платежей в договорах (контрактах);</w:t>
      </w:r>
    </w:p>
    <w:p w:rsidR="006C48AF" w:rsidRDefault="006C48AF" w:rsidP="006C4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соответствия обязательных реквизитов в первичных документах;</w:t>
      </w:r>
    </w:p>
    <w:p w:rsidR="006C48AF" w:rsidRDefault="006C48AF" w:rsidP="006C4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соответствия первичных документов на оплату и информации, содержащейся в таких документах, условиям договоров (контрактов);</w:t>
      </w:r>
    </w:p>
    <w:p w:rsidR="006C48AF" w:rsidRDefault="006C48AF" w:rsidP="006C4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расходования денежных средств в соответствии с предусмотренными в бюджете расходами;</w:t>
      </w:r>
    </w:p>
    <w:p w:rsidR="006C48AF" w:rsidRDefault="006C48AF" w:rsidP="006C4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целевого расходования денежных средств;</w:t>
      </w:r>
    </w:p>
    <w:p w:rsidR="006C48AF" w:rsidRDefault="006C48AF" w:rsidP="006C4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соблюдения утвержденных муниципальными правовыми актами нормативов на осуществление расходов;</w:t>
      </w:r>
    </w:p>
    <w:p w:rsidR="006C48AF" w:rsidRDefault="006C48AF" w:rsidP="006C4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соблюдения сроков при осуществлении расходов;</w:t>
      </w:r>
    </w:p>
    <w:p w:rsidR="006C48AF" w:rsidRDefault="006C48AF" w:rsidP="006C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соблюдения сроков отражения операций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автоматизированной системе «1С: Бухгалтерия».</w:t>
      </w:r>
    </w:p>
    <w:p w:rsidR="006C48AF" w:rsidRDefault="006C48AF" w:rsidP="006C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устраняются нарушения, замечания органов финансового контроля по результатам проведенных проверок, ревизий (при наличии).</w:t>
      </w:r>
    </w:p>
    <w:p w:rsidR="00F17468" w:rsidRDefault="006C48AF" w:rsidP="00F17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F17468" w:rsidRPr="00F174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Основные задачи работы отдела бухгалтерского учета и отчетности на 2020 год</w:t>
      </w:r>
      <w:r w:rsidR="00F174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26C82" w:rsidRPr="006C48AF" w:rsidRDefault="006C48AF" w:rsidP="006C48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1D64B0" w:rsidRPr="006C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возложенных задач на отдел бухгалтерского учета и отчетности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64B0" w:rsidRPr="006C4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 об отделе;</w:t>
      </w:r>
    </w:p>
    <w:p w:rsidR="00C26C82" w:rsidRPr="006C48AF" w:rsidRDefault="006C48AF" w:rsidP="006C4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64B0" w:rsidRPr="006C48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</w:t>
      </w:r>
      <w:r w:rsidR="001D64B0" w:rsidRPr="006C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D64B0" w:rsidRPr="006C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D64B0" w:rsidRPr="006C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бухгалтерского учета с учетом </w:t>
      </w:r>
      <w:r w:rsidR="001D64B0" w:rsidRPr="006C4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введенных с 2020 года в действие Федеральных стандартов;</w:t>
      </w:r>
    </w:p>
    <w:p w:rsidR="006C48AF" w:rsidRPr="006C48AF" w:rsidRDefault="006C48AF" w:rsidP="006C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AF">
        <w:rPr>
          <w:rFonts w:ascii="Times New Roman" w:eastAsia="Times New Roman" w:hAnsi="Times New Roman" w:cs="Times New Roman"/>
          <w:sz w:val="28"/>
          <w:szCs w:val="28"/>
          <w:lang w:eastAsia="ru-RU"/>
        </w:rPr>
        <w:t>-  утвердить график документооборота администрации</w:t>
      </w:r>
      <w:r w:rsidR="001D6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5EB8" w:rsidRDefault="00285EB8" w:rsidP="006C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EB8" w:rsidRDefault="00285EB8" w:rsidP="0028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EB8" w:rsidRDefault="00285EB8" w:rsidP="0028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285EB8" w:rsidRDefault="00285EB8" w:rsidP="0028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 учета и отчетности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Генералова</w:t>
      </w:r>
      <w:proofErr w:type="spellEnd"/>
    </w:p>
    <w:p w:rsidR="001F0EFE" w:rsidRPr="00285EB8" w:rsidRDefault="001F0EFE" w:rsidP="0028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</w:p>
    <w:sectPr w:rsidR="001F0EFE" w:rsidRPr="00285EB8" w:rsidSect="00F255C6">
      <w:pgSz w:w="11906" w:h="16838"/>
      <w:pgMar w:top="567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712FE"/>
    <w:multiLevelType w:val="hybridMultilevel"/>
    <w:tmpl w:val="B52A9B06"/>
    <w:lvl w:ilvl="0" w:tplc="BDBEA99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94260706" w:tentative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DA4AE33E" w:tentative="1">
      <w:start w:val="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7124F936" w:tentative="1">
      <w:start w:val="1"/>
      <w:numFmt w:val="bullet"/>
      <w:lvlText w:val="-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41FE4174" w:tentative="1">
      <w:start w:val="1"/>
      <w:numFmt w:val="bullet"/>
      <w:lvlText w:val="-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566A77AC" w:tentative="1">
      <w:start w:val="1"/>
      <w:numFmt w:val="bullet"/>
      <w:lvlText w:val="-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7E0064F0" w:tentative="1">
      <w:start w:val="1"/>
      <w:numFmt w:val="bullet"/>
      <w:lvlText w:val="-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DFEC24FA" w:tentative="1">
      <w:start w:val="1"/>
      <w:numFmt w:val="bullet"/>
      <w:lvlText w:val="-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EBCECB5C" w:tentative="1">
      <w:start w:val="1"/>
      <w:numFmt w:val="bullet"/>
      <w:lvlText w:val="-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abstractNum w:abstractNumId="1">
    <w:nsid w:val="3F590D63"/>
    <w:multiLevelType w:val="multilevel"/>
    <w:tmpl w:val="43744C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66785C3E"/>
    <w:multiLevelType w:val="hybridMultilevel"/>
    <w:tmpl w:val="06F2C874"/>
    <w:lvl w:ilvl="0" w:tplc="AFC21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8255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C4B4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69865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602C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57CE7E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964DD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86C91E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9013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C345D84"/>
    <w:multiLevelType w:val="hybridMultilevel"/>
    <w:tmpl w:val="DAAEC972"/>
    <w:lvl w:ilvl="0" w:tplc="7666A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19"/>
    <w:rsid w:val="000029F0"/>
    <w:rsid w:val="00010B50"/>
    <w:rsid w:val="00014E58"/>
    <w:rsid w:val="000278C1"/>
    <w:rsid w:val="00031304"/>
    <w:rsid w:val="000464A7"/>
    <w:rsid w:val="00046DBE"/>
    <w:rsid w:val="00083FA9"/>
    <w:rsid w:val="000B4C2D"/>
    <w:rsid w:val="000C7677"/>
    <w:rsid w:val="000D0E62"/>
    <w:rsid w:val="000D6160"/>
    <w:rsid w:val="000E6B19"/>
    <w:rsid w:val="000E77C4"/>
    <w:rsid w:val="000F2D67"/>
    <w:rsid w:val="000F3057"/>
    <w:rsid w:val="00107B3F"/>
    <w:rsid w:val="0011685C"/>
    <w:rsid w:val="0012408B"/>
    <w:rsid w:val="0012584C"/>
    <w:rsid w:val="0013008B"/>
    <w:rsid w:val="00134EE4"/>
    <w:rsid w:val="00136FB4"/>
    <w:rsid w:val="001502DA"/>
    <w:rsid w:val="001619EE"/>
    <w:rsid w:val="00165274"/>
    <w:rsid w:val="0018505B"/>
    <w:rsid w:val="00186358"/>
    <w:rsid w:val="001A373B"/>
    <w:rsid w:val="001B56BD"/>
    <w:rsid w:val="001D64B0"/>
    <w:rsid w:val="001E167A"/>
    <w:rsid w:val="001E3154"/>
    <w:rsid w:val="001E62D5"/>
    <w:rsid w:val="001E7F64"/>
    <w:rsid w:val="001F0EFE"/>
    <w:rsid w:val="001F7567"/>
    <w:rsid w:val="002022B0"/>
    <w:rsid w:val="00223769"/>
    <w:rsid w:val="00260E57"/>
    <w:rsid w:val="00274122"/>
    <w:rsid w:val="00275FC1"/>
    <w:rsid w:val="00285EB8"/>
    <w:rsid w:val="00294E20"/>
    <w:rsid w:val="002C28FE"/>
    <w:rsid w:val="00303E70"/>
    <w:rsid w:val="003047CF"/>
    <w:rsid w:val="0031680D"/>
    <w:rsid w:val="00325495"/>
    <w:rsid w:val="0033117A"/>
    <w:rsid w:val="0033446E"/>
    <w:rsid w:val="00355805"/>
    <w:rsid w:val="0035696F"/>
    <w:rsid w:val="00371135"/>
    <w:rsid w:val="003817B7"/>
    <w:rsid w:val="00385BD8"/>
    <w:rsid w:val="00394350"/>
    <w:rsid w:val="00397AB6"/>
    <w:rsid w:val="003B04A6"/>
    <w:rsid w:val="003B11C5"/>
    <w:rsid w:val="003B75E6"/>
    <w:rsid w:val="003C2C54"/>
    <w:rsid w:val="00403ECF"/>
    <w:rsid w:val="004154D7"/>
    <w:rsid w:val="0042106F"/>
    <w:rsid w:val="00434422"/>
    <w:rsid w:val="0043602A"/>
    <w:rsid w:val="00436101"/>
    <w:rsid w:val="00443295"/>
    <w:rsid w:val="00455821"/>
    <w:rsid w:val="0046115D"/>
    <w:rsid w:val="00461E03"/>
    <w:rsid w:val="00471DAC"/>
    <w:rsid w:val="00491CF5"/>
    <w:rsid w:val="004A1549"/>
    <w:rsid w:val="004B3FA7"/>
    <w:rsid w:val="004B7423"/>
    <w:rsid w:val="004D2BEA"/>
    <w:rsid w:val="004F0971"/>
    <w:rsid w:val="00501B4E"/>
    <w:rsid w:val="00505CB2"/>
    <w:rsid w:val="00506043"/>
    <w:rsid w:val="005207B9"/>
    <w:rsid w:val="0052175D"/>
    <w:rsid w:val="005328F4"/>
    <w:rsid w:val="005414F4"/>
    <w:rsid w:val="00550230"/>
    <w:rsid w:val="00560936"/>
    <w:rsid w:val="00571A26"/>
    <w:rsid w:val="0059526E"/>
    <w:rsid w:val="005B1263"/>
    <w:rsid w:val="005D339C"/>
    <w:rsid w:val="005D7082"/>
    <w:rsid w:val="005E051A"/>
    <w:rsid w:val="00600586"/>
    <w:rsid w:val="006060BC"/>
    <w:rsid w:val="0061164A"/>
    <w:rsid w:val="00615AC6"/>
    <w:rsid w:val="00643A7E"/>
    <w:rsid w:val="006541DB"/>
    <w:rsid w:val="00655781"/>
    <w:rsid w:val="006751B9"/>
    <w:rsid w:val="0068225F"/>
    <w:rsid w:val="00682F7B"/>
    <w:rsid w:val="006856BA"/>
    <w:rsid w:val="0068586F"/>
    <w:rsid w:val="006A3C20"/>
    <w:rsid w:val="006C0A1E"/>
    <w:rsid w:val="006C48AF"/>
    <w:rsid w:val="006D7601"/>
    <w:rsid w:val="007067E6"/>
    <w:rsid w:val="007130B2"/>
    <w:rsid w:val="0074698F"/>
    <w:rsid w:val="00755C75"/>
    <w:rsid w:val="00760754"/>
    <w:rsid w:val="0076099C"/>
    <w:rsid w:val="0076257C"/>
    <w:rsid w:val="00767F1A"/>
    <w:rsid w:val="00774C91"/>
    <w:rsid w:val="007919F7"/>
    <w:rsid w:val="00793E66"/>
    <w:rsid w:val="007A5D94"/>
    <w:rsid w:val="007A7312"/>
    <w:rsid w:val="007C0F0F"/>
    <w:rsid w:val="007D0CAF"/>
    <w:rsid w:val="007D1305"/>
    <w:rsid w:val="007D399C"/>
    <w:rsid w:val="007E6B2D"/>
    <w:rsid w:val="00812C58"/>
    <w:rsid w:val="0084799C"/>
    <w:rsid w:val="00855AA8"/>
    <w:rsid w:val="0086396F"/>
    <w:rsid w:val="008720CF"/>
    <w:rsid w:val="00890BC7"/>
    <w:rsid w:val="008C148C"/>
    <w:rsid w:val="008C768A"/>
    <w:rsid w:val="009060A1"/>
    <w:rsid w:val="009119F1"/>
    <w:rsid w:val="009159F0"/>
    <w:rsid w:val="0092213B"/>
    <w:rsid w:val="00937293"/>
    <w:rsid w:val="00943AF2"/>
    <w:rsid w:val="00964145"/>
    <w:rsid w:val="00982541"/>
    <w:rsid w:val="009B21EE"/>
    <w:rsid w:val="009B30C8"/>
    <w:rsid w:val="009D271B"/>
    <w:rsid w:val="009E5A01"/>
    <w:rsid w:val="009E6059"/>
    <w:rsid w:val="009E6640"/>
    <w:rsid w:val="009F0F11"/>
    <w:rsid w:val="00A003CD"/>
    <w:rsid w:val="00A04711"/>
    <w:rsid w:val="00A17A1F"/>
    <w:rsid w:val="00A21779"/>
    <w:rsid w:val="00A270B4"/>
    <w:rsid w:val="00A37927"/>
    <w:rsid w:val="00A53CA5"/>
    <w:rsid w:val="00A54487"/>
    <w:rsid w:val="00A6158E"/>
    <w:rsid w:val="00A8167D"/>
    <w:rsid w:val="00AF4AEC"/>
    <w:rsid w:val="00B22874"/>
    <w:rsid w:val="00B3074D"/>
    <w:rsid w:val="00B704C1"/>
    <w:rsid w:val="00B75BB1"/>
    <w:rsid w:val="00B85F6C"/>
    <w:rsid w:val="00B93E44"/>
    <w:rsid w:val="00BA6738"/>
    <w:rsid w:val="00BB283D"/>
    <w:rsid w:val="00BC5296"/>
    <w:rsid w:val="00BE4D5C"/>
    <w:rsid w:val="00BE4F94"/>
    <w:rsid w:val="00C02E4D"/>
    <w:rsid w:val="00C13DB7"/>
    <w:rsid w:val="00C22A24"/>
    <w:rsid w:val="00C26C82"/>
    <w:rsid w:val="00C3305B"/>
    <w:rsid w:val="00C469EE"/>
    <w:rsid w:val="00C629AD"/>
    <w:rsid w:val="00C62EFF"/>
    <w:rsid w:val="00C80F47"/>
    <w:rsid w:val="00CA6EAF"/>
    <w:rsid w:val="00CA7E2C"/>
    <w:rsid w:val="00CD03FA"/>
    <w:rsid w:val="00D1149E"/>
    <w:rsid w:val="00D412AD"/>
    <w:rsid w:val="00D4265B"/>
    <w:rsid w:val="00D42F24"/>
    <w:rsid w:val="00D62B23"/>
    <w:rsid w:val="00D8147D"/>
    <w:rsid w:val="00D856A8"/>
    <w:rsid w:val="00DA2DB6"/>
    <w:rsid w:val="00E139BD"/>
    <w:rsid w:val="00E157C6"/>
    <w:rsid w:val="00E24FA1"/>
    <w:rsid w:val="00E56F0E"/>
    <w:rsid w:val="00E66DAA"/>
    <w:rsid w:val="00E72EEC"/>
    <w:rsid w:val="00E81553"/>
    <w:rsid w:val="00EC65E2"/>
    <w:rsid w:val="00EC778F"/>
    <w:rsid w:val="00ED2349"/>
    <w:rsid w:val="00F17468"/>
    <w:rsid w:val="00F22B97"/>
    <w:rsid w:val="00F22FB1"/>
    <w:rsid w:val="00F239A5"/>
    <w:rsid w:val="00F23DC9"/>
    <w:rsid w:val="00F255C6"/>
    <w:rsid w:val="00F309E3"/>
    <w:rsid w:val="00F352D0"/>
    <w:rsid w:val="00F40ED0"/>
    <w:rsid w:val="00F43705"/>
    <w:rsid w:val="00F5259A"/>
    <w:rsid w:val="00F62FBF"/>
    <w:rsid w:val="00FB4A8E"/>
    <w:rsid w:val="00FC4D89"/>
    <w:rsid w:val="00FD473E"/>
    <w:rsid w:val="00FD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AE308-84D1-4B5E-992A-384CA956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19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5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2020-02-20T11:02:00Z</cp:lastPrinted>
  <dcterms:created xsi:type="dcterms:W3CDTF">2020-02-25T14:05:00Z</dcterms:created>
  <dcterms:modified xsi:type="dcterms:W3CDTF">2020-03-05T05:13:00Z</dcterms:modified>
</cp:coreProperties>
</file>